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92F6A" w14:textId="77777777" w:rsidR="00657864" w:rsidRDefault="00657864" w:rsidP="00AB5B48">
      <w:pPr>
        <w:pStyle w:val="Heading1"/>
        <w:spacing w:before="74"/>
        <w:ind w:left="1474" w:right="1462"/>
        <w:jc w:val="center"/>
        <w:rPr>
          <w:color w:val="0C0C0C"/>
          <w:w w:val="105"/>
          <w:sz w:val="22"/>
          <w:szCs w:val="22"/>
        </w:rPr>
      </w:pPr>
    </w:p>
    <w:p w14:paraId="5E9F2314" w14:textId="77777777" w:rsidR="00657864" w:rsidRDefault="00657864" w:rsidP="00AB5B48">
      <w:pPr>
        <w:pStyle w:val="Heading1"/>
        <w:spacing w:before="74"/>
        <w:ind w:left="1474" w:right="1462"/>
        <w:jc w:val="center"/>
        <w:rPr>
          <w:color w:val="0C0C0C"/>
          <w:w w:val="105"/>
          <w:sz w:val="22"/>
          <w:szCs w:val="22"/>
        </w:rPr>
      </w:pPr>
    </w:p>
    <w:p w14:paraId="2F7BC5DA" w14:textId="77777777" w:rsidR="00657864" w:rsidRDefault="00657864" w:rsidP="00AB5B48">
      <w:pPr>
        <w:pStyle w:val="Heading1"/>
        <w:spacing w:before="74"/>
        <w:ind w:left="1474" w:right="1462"/>
        <w:jc w:val="center"/>
        <w:rPr>
          <w:color w:val="0C0C0C"/>
          <w:w w:val="105"/>
          <w:sz w:val="22"/>
          <w:szCs w:val="22"/>
        </w:rPr>
      </w:pPr>
    </w:p>
    <w:p w14:paraId="7BD33A32" w14:textId="1A119487" w:rsidR="00AB5B48" w:rsidRPr="00611717" w:rsidRDefault="00AB5B48" w:rsidP="00AB5B48">
      <w:pPr>
        <w:pStyle w:val="Heading1"/>
        <w:spacing w:before="74"/>
        <w:ind w:left="1474" w:right="1462"/>
        <w:jc w:val="center"/>
        <w:rPr>
          <w:sz w:val="22"/>
          <w:szCs w:val="22"/>
        </w:rPr>
      </w:pPr>
      <w:r w:rsidRPr="00611717">
        <w:rPr>
          <w:color w:val="0C0C0C"/>
          <w:w w:val="105"/>
          <w:sz w:val="22"/>
          <w:szCs w:val="22"/>
        </w:rPr>
        <w:t xml:space="preserve">Ignite Announces </w:t>
      </w:r>
      <w:r>
        <w:rPr>
          <w:color w:val="0C0C0C"/>
          <w:w w:val="105"/>
          <w:sz w:val="22"/>
          <w:szCs w:val="22"/>
        </w:rPr>
        <w:t>Results of Shareholder Meeting and Completion of</w:t>
      </w:r>
      <w:r w:rsidRPr="00611717">
        <w:rPr>
          <w:color w:val="0C0C0C"/>
          <w:w w:val="105"/>
          <w:sz w:val="22"/>
          <w:szCs w:val="22"/>
        </w:rPr>
        <w:t xml:space="preserve"> Going Private Transaction</w:t>
      </w:r>
    </w:p>
    <w:p w14:paraId="716C79A9" w14:textId="77777777" w:rsidR="00AB5B48" w:rsidRPr="00611717" w:rsidRDefault="00AB5B48" w:rsidP="00AB5B48">
      <w:pPr>
        <w:pStyle w:val="BodyText"/>
        <w:spacing w:before="8"/>
        <w:jc w:val="both"/>
        <w:rPr>
          <w:b/>
          <w:sz w:val="22"/>
          <w:szCs w:val="22"/>
        </w:rPr>
      </w:pPr>
    </w:p>
    <w:p w14:paraId="69843F01" w14:textId="77777777" w:rsidR="00AB5B48" w:rsidRDefault="00AB5B48" w:rsidP="00AB5B48">
      <w:pPr>
        <w:pStyle w:val="BodyText"/>
        <w:spacing w:line="252" w:lineRule="auto"/>
        <w:ind w:left="120" w:right="79"/>
        <w:jc w:val="both"/>
        <w:rPr>
          <w:color w:val="0C0C0C"/>
          <w:w w:val="105"/>
          <w:sz w:val="22"/>
          <w:szCs w:val="22"/>
        </w:rPr>
      </w:pPr>
      <w:r w:rsidRPr="00611717">
        <w:rPr>
          <w:color w:val="0C0C0C"/>
          <w:w w:val="105"/>
          <w:sz w:val="22"/>
          <w:szCs w:val="22"/>
        </w:rPr>
        <w:t>T</w:t>
      </w:r>
      <w:r>
        <w:rPr>
          <w:color w:val="0C0C0C"/>
          <w:w w:val="105"/>
          <w:sz w:val="22"/>
          <w:szCs w:val="22"/>
        </w:rPr>
        <w:t>ORONTO--(BUSINESS WIRE)—August 29</w:t>
      </w:r>
      <w:r w:rsidRPr="00611717">
        <w:rPr>
          <w:color w:val="0C0C0C"/>
          <w:w w:val="105"/>
          <w:sz w:val="22"/>
          <w:szCs w:val="22"/>
        </w:rPr>
        <w:t xml:space="preserve">, 2022--Ignite </w:t>
      </w:r>
      <w:r w:rsidRPr="00611717">
        <w:rPr>
          <w:color w:val="1C1C1C"/>
          <w:w w:val="105"/>
          <w:sz w:val="22"/>
          <w:szCs w:val="22"/>
        </w:rPr>
        <w:t xml:space="preserve">International </w:t>
      </w:r>
      <w:r w:rsidRPr="00611717">
        <w:rPr>
          <w:color w:val="0C0C0C"/>
          <w:w w:val="105"/>
          <w:sz w:val="22"/>
          <w:szCs w:val="22"/>
        </w:rPr>
        <w:t>Brands, Ltd. (CSE: BILZ</w:t>
      </w:r>
      <w:r>
        <w:rPr>
          <w:color w:val="0C0C0C"/>
          <w:w w:val="105"/>
          <w:sz w:val="22"/>
          <w:szCs w:val="22"/>
        </w:rPr>
        <w:t>, OTCQX: BILZF</w:t>
      </w:r>
      <w:r w:rsidRPr="00611717">
        <w:rPr>
          <w:color w:val="0C0C0C"/>
          <w:w w:val="105"/>
          <w:sz w:val="22"/>
          <w:szCs w:val="22"/>
        </w:rPr>
        <w:t>) ("</w:t>
      </w:r>
      <w:r w:rsidRPr="0039085A">
        <w:rPr>
          <w:b/>
          <w:color w:val="0C0C0C"/>
          <w:w w:val="105"/>
          <w:sz w:val="22"/>
          <w:szCs w:val="22"/>
        </w:rPr>
        <w:t>Ignite</w:t>
      </w:r>
      <w:r w:rsidRPr="00611717">
        <w:rPr>
          <w:color w:val="0C0C0C"/>
          <w:w w:val="105"/>
          <w:sz w:val="22"/>
          <w:szCs w:val="22"/>
        </w:rPr>
        <w:t>" or the "</w:t>
      </w:r>
      <w:r w:rsidRPr="0039085A">
        <w:rPr>
          <w:b/>
          <w:color w:val="0C0C0C"/>
          <w:w w:val="105"/>
          <w:sz w:val="22"/>
          <w:szCs w:val="22"/>
        </w:rPr>
        <w:t>Company</w:t>
      </w:r>
      <w:r w:rsidRPr="00611717">
        <w:rPr>
          <w:color w:val="0C0C0C"/>
          <w:w w:val="105"/>
          <w:sz w:val="22"/>
          <w:szCs w:val="22"/>
        </w:rPr>
        <w:t xml:space="preserve">") </w:t>
      </w:r>
      <w:r>
        <w:rPr>
          <w:color w:val="0C0C0C"/>
          <w:w w:val="105"/>
          <w:sz w:val="22"/>
          <w:szCs w:val="22"/>
        </w:rPr>
        <w:t xml:space="preserve">is pleased to </w:t>
      </w:r>
      <w:r w:rsidRPr="00611717">
        <w:rPr>
          <w:color w:val="0C0C0C"/>
          <w:w w:val="105"/>
          <w:sz w:val="22"/>
          <w:szCs w:val="22"/>
        </w:rPr>
        <w:t>announce that</w:t>
      </w:r>
      <w:r>
        <w:rPr>
          <w:color w:val="0C0C0C"/>
          <w:w w:val="105"/>
          <w:sz w:val="22"/>
          <w:szCs w:val="22"/>
        </w:rPr>
        <w:t>, at a meeting of the shareholders of the Company held on August 24, 2022 (the “</w:t>
      </w:r>
      <w:r w:rsidRPr="000A2D95">
        <w:rPr>
          <w:b/>
          <w:color w:val="0C0C0C"/>
          <w:w w:val="105"/>
          <w:sz w:val="22"/>
          <w:szCs w:val="22"/>
        </w:rPr>
        <w:t>Meeting</w:t>
      </w:r>
      <w:r>
        <w:rPr>
          <w:color w:val="0C0C0C"/>
          <w:w w:val="105"/>
          <w:sz w:val="22"/>
          <w:szCs w:val="22"/>
        </w:rPr>
        <w:t>”),</w:t>
      </w:r>
      <w:r w:rsidRPr="00611717">
        <w:rPr>
          <w:color w:val="0C0C0C"/>
          <w:w w:val="105"/>
          <w:sz w:val="22"/>
          <w:szCs w:val="22"/>
        </w:rPr>
        <w:t xml:space="preserve"> its </w:t>
      </w:r>
      <w:r>
        <w:rPr>
          <w:color w:val="0C0C0C"/>
          <w:w w:val="105"/>
          <w:sz w:val="22"/>
          <w:szCs w:val="22"/>
        </w:rPr>
        <w:t>shareholders approved the resolution to go private announced on July 19, 2022, and that the going private transaction has been completed.</w:t>
      </w:r>
    </w:p>
    <w:p w14:paraId="1171F7E3" w14:textId="77777777" w:rsidR="00AB5B48" w:rsidRDefault="00AB5B48" w:rsidP="00AB5B48">
      <w:pPr>
        <w:pStyle w:val="BodyText"/>
        <w:spacing w:line="252" w:lineRule="auto"/>
        <w:ind w:left="120" w:right="79"/>
        <w:jc w:val="both"/>
        <w:rPr>
          <w:color w:val="0C0C0C"/>
          <w:w w:val="105"/>
          <w:sz w:val="22"/>
          <w:szCs w:val="22"/>
        </w:rPr>
      </w:pPr>
    </w:p>
    <w:p w14:paraId="5C3F6FDE" w14:textId="77777777" w:rsidR="00AB5B48" w:rsidRDefault="00AB5B48" w:rsidP="00AB5B48">
      <w:pPr>
        <w:pStyle w:val="BodyText"/>
        <w:spacing w:line="249" w:lineRule="auto"/>
        <w:ind w:left="112" w:right="63" w:firstLine="8"/>
        <w:jc w:val="both"/>
        <w:rPr>
          <w:color w:val="0C0C0C"/>
          <w:w w:val="105"/>
          <w:sz w:val="22"/>
          <w:szCs w:val="22"/>
        </w:rPr>
      </w:pPr>
      <w:r w:rsidRPr="000A2523">
        <w:rPr>
          <w:color w:val="0C0C0C"/>
          <w:w w:val="105"/>
          <w:sz w:val="22"/>
          <w:szCs w:val="22"/>
        </w:rPr>
        <w:t>At the Meeting</w:t>
      </w:r>
      <w:r>
        <w:rPr>
          <w:color w:val="0C0C0C"/>
          <w:w w:val="105"/>
          <w:sz w:val="22"/>
          <w:szCs w:val="22"/>
        </w:rPr>
        <w:t>,</w:t>
      </w:r>
      <w:r w:rsidRPr="000A2523">
        <w:rPr>
          <w:color w:val="0C0C0C"/>
          <w:w w:val="105"/>
          <w:sz w:val="22"/>
          <w:szCs w:val="22"/>
        </w:rPr>
        <w:t xml:space="preserve"> shareholders of the Company approved: (</w:t>
      </w:r>
      <w:proofErr w:type="spellStart"/>
      <w:r w:rsidRPr="000A2523">
        <w:rPr>
          <w:color w:val="0C0C0C"/>
          <w:w w:val="105"/>
          <w:sz w:val="22"/>
          <w:szCs w:val="22"/>
        </w:rPr>
        <w:t>i</w:t>
      </w:r>
      <w:proofErr w:type="spellEnd"/>
      <w:r w:rsidRPr="000A2523">
        <w:rPr>
          <w:color w:val="0C0C0C"/>
          <w:w w:val="105"/>
          <w:sz w:val="22"/>
          <w:szCs w:val="22"/>
        </w:rPr>
        <w:t xml:space="preserve">) </w:t>
      </w:r>
      <w:r>
        <w:rPr>
          <w:color w:val="0C0C0C"/>
          <w:w w:val="105"/>
          <w:sz w:val="22"/>
          <w:szCs w:val="22"/>
        </w:rPr>
        <w:t xml:space="preserve">the fixing of the number of directors of the Company at five (5); (ii) </w:t>
      </w:r>
      <w:r w:rsidRPr="000A2523">
        <w:rPr>
          <w:color w:val="0C0C0C"/>
          <w:w w:val="105"/>
          <w:sz w:val="22"/>
          <w:szCs w:val="22"/>
        </w:rPr>
        <w:t xml:space="preserve">the election of the five nominated directors, being </w:t>
      </w:r>
      <w:r>
        <w:rPr>
          <w:color w:val="0C0C0C"/>
          <w:w w:val="105"/>
          <w:sz w:val="22"/>
          <w:szCs w:val="22"/>
        </w:rPr>
        <w:t>Dan Bilzerian, Lester Lee, Greg Gilpin-Payne, Ralph Gilpin-Payne</w:t>
      </w:r>
      <w:r w:rsidRPr="000A2523">
        <w:rPr>
          <w:color w:val="0C0C0C"/>
          <w:w w:val="105"/>
          <w:sz w:val="22"/>
          <w:szCs w:val="22"/>
        </w:rPr>
        <w:t xml:space="preserve"> and </w:t>
      </w:r>
      <w:r>
        <w:rPr>
          <w:color w:val="0C0C0C"/>
          <w:w w:val="105"/>
          <w:sz w:val="22"/>
          <w:szCs w:val="22"/>
        </w:rPr>
        <w:t>Tom Bunker</w:t>
      </w:r>
      <w:r w:rsidRPr="000A2523">
        <w:rPr>
          <w:color w:val="0C0C0C"/>
          <w:w w:val="105"/>
          <w:sz w:val="22"/>
          <w:szCs w:val="22"/>
        </w:rPr>
        <w:t xml:space="preserve">; (ii) the appointment of </w:t>
      </w:r>
      <w:r>
        <w:rPr>
          <w:color w:val="0C0C0C"/>
          <w:w w:val="105"/>
          <w:sz w:val="22"/>
          <w:szCs w:val="22"/>
        </w:rPr>
        <w:t>Accell Audit and Compliance, P.A.</w:t>
      </w:r>
      <w:r w:rsidRPr="000A2523">
        <w:rPr>
          <w:color w:val="0C0C0C"/>
          <w:w w:val="105"/>
          <w:sz w:val="22"/>
          <w:szCs w:val="22"/>
        </w:rPr>
        <w:t>, as the Company’s auditor</w:t>
      </w:r>
      <w:r>
        <w:rPr>
          <w:color w:val="0C0C0C"/>
          <w:w w:val="105"/>
          <w:sz w:val="22"/>
          <w:szCs w:val="22"/>
        </w:rPr>
        <w:t xml:space="preserve"> and authorization for the Board to the Company to fix their remuneration</w:t>
      </w:r>
      <w:r w:rsidRPr="000A2523">
        <w:rPr>
          <w:color w:val="0C0C0C"/>
          <w:w w:val="105"/>
          <w:sz w:val="22"/>
          <w:szCs w:val="22"/>
        </w:rPr>
        <w:t xml:space="preserve">; and (iii) the </w:t>
      </w:r>
      <w:r>
        <w:rPr>
          <w:color w:val="0C0C0C"/>
          <w:w w:val="105"/>
          <w:sz w:val="22"/>
          <w:szCs w:val="22"/>
        </w:rPr>
        <w:t>going private transaction of the Company via consolidation (the “</w:t>
      </w:r>
      <w:r w:rsidRPr="00BF1348">
        <w:rPr>
          <w:b/>
          <w:color w:val="0C0C0C"/>
          <w:w w:val="105"/>
          <w:sz w:val="22"/>
          <w:szCs w:val="22"/>
        </w:rPr>
        <w:t>Consolidation Resolution</w:t>
      </w:r>
      <w:r>
        <w:rPr>
          <w:color w:val="0C0C0C"/>
          <w:w w:val="105"/>
          <w:sz w:val="22"/>
          <w:szCs w:val="22"/>
        </w:rPr>
        <w:t>”)</w:t>
      </w:r>
      <w:r w:rsidRPr="000A2523">
        <w:rPr>
          <w:color w:val="0C0C0C"/>
          <w:w w:val="105"/>
          <w:sz w:val="22"/>
          <w:szCs w:val="22"/>
        </w:rPr>
        <w:t>.</w:t>
      </w:r>
      <w:r>
        <w:rPr>
          <w:color w:val="0C0C0C"/>
          <w:w w:val="105"/>
          <w:sz w:val="22"/>
          <w:szCs w:val="22"/>
        </w:rPr>
        <w:t xml:space="preserve"> In accordance with the undertaking provided by the Company to the Ontario Securities Commission and previously announced via press release on August 23, 2022, the separate vote tabulations for the approval of the Consolidation Resolution at the Meeting are as follows:</w:t>
      </w:r>
    </w:p>
    <w:p w14:paraId="08B37E87" w14:textId="77777777" w:rsidR="00AB5B48" w:rsidRDefault="00AB5B48" w:rsidP="00AB5B48">
      <w:pPr>
        <w:pStyle w:val="BodyText"/>
        <w:spacing w:line="249" w:lineRule="auto"/>
        <w:ind w:left="112" w:right="63" w:firstLine="8"/>
        <w:jc w:val="both"/>
        <w:rPr>
          <w:color w:val="0C0C0C"/>
          <w:w w:val="105"/>
          <w:sz w:val="22"/>
          <w:szCs w:val="22"/>
        </w:rPr>
      </w:pPr>
    </w:p>
    <w:tbl>
      <w:tblPr>
        <w:tblStyle w:val="TableGrid"/>
        <w:tblW w:w="0" w:type="auto"/>
        <w:tblInd w:w="112" w:type="dxa"/>
        <w:tblLook w:val="04A0" w:firstRow="1" w:lastRow="0" w:firstColumn="1" w:lastColumn="0" w:noHBand="0" w:noVBand="1"/>
      </w:tblPr>
      <w:tblGrid>
        <w:gridCol w:w="4677"/>
        <w:gridCol w:w="2368"/>
        <w:gridCol w:w="2193"/>
      </w:tblGrid>
      <w:tr w:rsidR="00AB5B48" w14:paraId="36A0E9FF" w14:textId="77777777" w:rsidTr="003E74D8">
        <w:tc>
          <w:tcPr>
            <w:tcW w:w="9464" w:type="dxa"/>
            <w:gridSpan w:val="3"/>
            <w:shd w:val="clear" w:color="auto" w:fill="F2F2F2" w:themeFill="background1" w:themeFillShade="F2"/>
          </w:tcPr>
          <w:p w14:paraId="6909C394" w14:textId="77777777" w:rsidR="00AB5B48" w:rsidRDefault="00AB5B48" w:rsidP="003E74D8">
            <w:pPr>
              <w:pStyle w:val="BodyText"/>
              <w:spacing w:line="249" w:lineRule="auto"/>
              <w:ind w:right="63"/>
              <w:jc w:val="center"/>
              <w:rPr>
                <w:color w:val="0C0C0C"/>
                <w:w w:val="105"/>
                <w:sz w:val="22"/>
                <w:szCs w:val="22"/>
              </w:rPr>
            </w:pPr>
            <w:r>
              <w:rPr>
                <w:color w:val="0C0C0C"/>
                <w:w w:val="105"/>
                <w:sz w:val="22"/>
                <w:szCs w:val="22"/>
              </w:rPr>
              <w:t>Approval of Consolidation Resolution</w:t>
            </w:r>
          </w:p>
        </w:tc>
      </w:tr>
      <w:tr w:rsidR="00AB5B48" w14:paraId="0B9A4855" w14:textId="77777777" w:rsidTr="003E74D8">
        <w:tc>
          <w:tcPr>
            <w:tcW w:w="4816" w:type="dxa"/>
            <w:shd w:val="clear" w:color="auto" w:fill="F2F2F2" w:themeFill="background1" w:themeFillShade="F2"/>
          </w:tcPr>
          <w:p w14:paraId="563D9E52" w14:textId="77777777" w:rsidR="00AB5B48" w:rsidRDefault="00AB5B48" w:rsidP="003E74D8">
            <w:pPr>
              <w:pStyle w:val="BodyText"/>
              <w:spacing w:line="249" w:lineRule="auto"/>
              <w:ind w:right="63"/>
              <w:jc w:val="center"/>
              <w:rPr>
                <w:color w:val="0C0C0C"/>
                <w:w w:val="105"/>
                <w:sz w:val="22"/>
                <w:szCs w:val="22"/>
              </w:rPr>
            </w:pPr>
            <w:r>
              <w:rPr>
                <w:color w:val="0C0C0C"/>
                <w:w w:val="105"/>
                <w:sz w:val="22"/>
                <w:szCs w:val="22"/>
              </w:rPr>
              <w:t>Subset of Approval:</w:t>
            </w:r>
          </w:p>
        </w:tc>
        <w:tc>
          <w:tcPr>
            <w:tcW w:w="2410" w:type="dxa"/>
            <w:shd w:val="clear" w:color="auto" w:fill="F2F2F2" w:themeFill="background1" w:themeFillShade="F2"/>
          </w:tcPr>
          <w:p w14:paraId="14EFA2F5" w14:textId="77777777" w:rsidR="00AB5B48" w:rsidRDefault="00AB5B48" w:rsidP="003E74D8">
            <w:pPr>
              <w:pStyle w:val="BodyText"/>
              <w:spacing w:line="249" w:lineRule="auto"/>
              <w:ind w:right="63"/>
              <w:jc w:val="center"/>
              <w:rPr>
                <w:color w:val="0C0C0C"/>
                <w:w w:val="105"/>
                <w:sz w:val="22"/>
                <w:szCs w:val="22"/>
              </w:rPr>
            </w:pPr>
            <w:r>
              <w:rPr>
                <w:color w:val="0C0C0C"/>
                <w:w w:val="105"/>
                <w:sz w:val="22"/>
                <w:szCs w:val="22"/>
              </w:rPr>
              <w:t>For:</w:t>
            </w:r>
          </w:p>
        </w:tc>
        <w:tc>
          <w:tcPr>
            <w:tcW w:w="2238" w:type="dxa"/>
            <w:shd w:val="clear" w:color="auto" w:fill="F2F2F2" w:themeFill="background1" w:themeFillShade="F2"/>
          </w:tcPr>
          <w:p w14:paraId="484B4B73" w14:textId="77777777" w:rsidR="00AB5B48" w:rsidRDefault="00AB5B48" w:rsidP="003E74D8">
            <w:pPr>
              <w:pStyle w:val="BodyText"/>
              <w:spacing w:line="249" w:lineRule="auto"/>
              <w:ind w:right="63"/>
              <w:jc w:val="center"/>
              <w:rPr>
                <w:color w:val="0C0C0C"/>
                <w:w w:val="105"/>
                <w:sz w:val="22"/>
                <w:szCs w:val="22"/>
              </w:rPr>
            </w:pPr>
            <w:r>
              <w:rPr>
                <w:color w:val="0C0C0C"/>
                <w:w w:val="105"/>
                <w:sz w:val="22"/>
                <w:szCs w:val="22"/>
              </w:rPr>
              <w:t>Against:</w:t>
            </w:r>
          </w:p>
        </w:tc>
      </w:tr>
      <w:tr w:rsidR="00AB5B48" w14:paraId="2514FD2D" w14:textId="77777777" w:rsidTr="003E74D8">
        <w:tc>
          <w:tcPr>
            <w:tcW w:w="4816" w:type="dxa"/>
          </w:tcPr>
          <w:p w14:paraId="38D59848"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Votes cast by all shareholders voting in respect of the Consolidation Resolution</w:t>
            </w:r>
          </w:p>
        </w:tc>
        <w:tc>
          <w:tcPr>
            <w:tcW w:w="2410" w:type="dxa"/>
          </w:tcPr>
          <w:p w14:paraId="753FCCDB"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100,011,177 or 99%</w:t>
            </w:r>
          </w:p>
        </w:tc>
        <w:tc>
          <w:tcPr>
            <w:tcW w:w="2238" w:type="dxa"/>
          </w:tcPr>
          <w:p w14:paraId="2BA2F16F"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1,013,843 or 1%</w:t>
            </w:r>
          </w:p>
        </w:tc>
      </w:tr>
      <w:tr w:rsidR="00AB5B48" w14:paraId="0ED7A864" w14:textId="77777777" w:rsidTr="003E74D8">
        <w:tc>
          <w:tcPr>
            <w:tcW w:w="4816" w:type="dxa"/>
          </w:tcPr>
          <w:p w14:paraId="3141769F"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 xml:space="preserve">Votes cast by minority shareholders voting in respect of the Consolidation Resolution, excluding votes required to be excluded pursuant to Multilateral Instrument 61-101 - </w:t>
            </w:r>
            <w:r w:rsidRPr="00640C42">
              <w:rPr>
                <w:color w:val="0C0C0C"/>
                <w:w w:val="105"/>
                <w:sz w:val="22"/>
                <w:szCs w:val="22"/>
              </w:rPr>
              <w:t>Protection of Minority Security Holders in Special Transactions</w:t>
            </w:r>
            <w:r>
              <w:rPr>
                <w:color w:val="0C0C0C"/>
                <w:w w:val="105"/>
                <w:sz w:val="22"/>
                <w:szCs w:val="22"/>
              </w:rPr>
              <w:t xml:space="preserve"> (“</w:t>
            </w:r>
            <w:r w:rsidRPr="00640C42">
              <w:rPr>
                <w:b/>
                <w:color w:val="0C0C0C"/>
                <w:w w:val="105"/>
                <w:sz w:val="22"/>
                <w:szCs w:val="22"/>
              </w:rPr>
              <w:t>MI 61-101</w:t>
            </w:r>
            <w:r>
              <w:rPr>
                <w:color w:val="0C0C0C"/>
                <w:w w:val="105"/>
                <w:sz w:val="22"/>
                <w:szCs w:val="22"/>
              </w:rPr>
              <w:t>”)</w:t>
            </w:r>
          </w:p>
        </w:tc>
        <w:tc>
          <w:tcPr>
            <w:tcW w:w="2410" w:type="dxa"/>
          </w:tcPr>
          <w:p w14:paraId="37709258" w14:textId="77777777" w:rsidR="00AB5B48" w:rsidRDefault="00AB5B48" w:rsidP="003E74D8">
            <w:pPr>
              <w:pStyle w:val="BodyText"/>
              <w:spacing w:line="249" w:lineRule="auto"/>
              <w:ind w:right="63"/>
              <w:jc w:val="both"/>
              <w:rPr>
                <w:color w:val="0C0C0C"/>
                <w:w w:val="105"/>
                <w:sz w:val="22"/>
                <w:szCs w:val="22"/>
              </w:rPr>
            </w:pPr>
          </w:p>
          <w:p w14:paraId="74AB18FA" w14:textId="77777777" w:rsidR="00AB5B48" w:rsidRDefault="00AB5B48" w:rsidP="003E74D8">
            <w:pPr>
              <w:pStyle w:val="BodyText"/>
              <w:spacing w:line="249" w:lineRule="auto"/>
              <w:ind w:right="63"/>
              <w:jc w:val="both"/>
              <w:rPr>
                <w:color w:val="0C0C0C"/>
                <w:w w:val="105"/>
                <w:sz w:val="22"/>
                <w:szCs w:val="22"/>
              </w:rPr>
            </w:pPr>
          </w:p>
          <w:p w14:paraId="62EA14F2"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32,327,672 or 96.96%</w:t>
            </w:r>
          </w:p>
        </w:tc>
        <w:tc>
          <w:tcPr>
            <w:tcW w:w="2238" w:type="dxa"/>
          </w:tcPr>
          <w:p w14:paraId="493277EE" w14:textId="77777777" w:rsidR="00AB5B48" w:rsidRDefault="00AB5B48" w:rsidP="003E74D8">
            <w:pPr>
              <w:pStyle w:val="BodyText"/>
              <w:spacing w:line="249" w:lineRule="auto"/>
              <w:ind w:right="63"/>
              <w:jc w:val="both"/>
              <w:rPr>
                <w:color w:val="0C0C0C"/>
                <w:w w:val="105"/>
                <w:sz w:val="22"/>
                <w:szCs w:val="22"/>
              </w:rPr>
            </w:pPr>
          </w:p>
          <w:p w14:paraId="302FD482" w14:textId="77777777" w:rsidR="00AB5B48" w:rsidRDefault="00AB5B48" w:rsidP="003E74D8">
            <w:pPr>
              <w:pStyle w:val="BodyText"/>
              <w:spacing w:line="249" w:lineRule="auto"/>
              <w:ind w:right="63"/>
              <w:jc w:val="both"/>
              <w:rPr>
                <w:color w:val="0C0C0C"/>
                <w:w w:val="105"/>
                <w:sz w:val="22"/>
                <w:szCs w:val="22"/>
              </w:rPr>
            </w:pPr>
          </w:p>
          <w:p w14:paraId="35F83A0C"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1,013,843 or 3.04%</w:t>
            </w:r>
          </w:p>
        </w:tc>
      </w:tr>
      <w:tr w:rsidR="00AB5B48" w14:paraId="38B96E37" w14:textId="77777777" w:rsidTr="003E74D8">
        <w:tc>
          <w:tcPr>
            <w:tcW w:w="4816" w:type="dxa"/>
          </w:tcPr>
          <w:p w14:paraId="0263C97E"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 xml:space="preserve">Votes cast by shareholders holding less than 100,000 subordinated voting shares or less than 100,000 proportionate voting shares who will cease to be a shareholder of the Company </w:t>
            </w:r>
            <w:proofErr w:type="gramStart"/>
            <w:r>
              <w:rPr>
                <w:color w:val="0C0C0C"/>
                <w:w w:val="105"/>
                <w:sz w:val="22"/>
                <w:szCs w:val="22"/>
              </w:rPr>
              <w:t>as a result of</w:t>
            </w:r>
            <w:proofErr w:type="gramEnd"/>
            <w:r>
              <w:rPr>
                <w:color w:val="0C0C0C"/>
                <w:w w:val="105"/>
                <w:sz w:val="22"/>
                <w:szCs w:val="22"/>
              </w:rPr>
              <w:t xml:space="preserve"> the Consolidation</w:t>
            </w:r>
          </w:p>
        </w:tc>
        <w:tc>
          <w:tcPr>
            <w:tcW w:w="2410" w:type="dxa"/>
          </w:tcPr>
          <w:p w14:paraId="49358CFD" w14:textId="77777777" w:rsidR="00AB5B48" w:rsidRDefault="00AB5B48" w:rsidP="003E74D8">
            <w:pPr>
              <w:pStyle w:val="BodyText"/>
              <w:spacing w:line="249" w:lineRule="auto"/>
              <w:ind w:right="63"/>
              <w:jc w:val="both"/>
              <w:rPr>
                <w:color w:val="0C0C0C"/>
                <w:w w:val="105"/>
                <w:sz w:val="22"/>
                <w:szCs w:val="22"/>
              </w:rPr>
            </w:pPr>
          </w:p>
          <w:p w14:paraId="266E91D1" w14:textId="77777777" w:rsidR="00AB5B48" w:rsidRDefault="00AB5B48" w:rsidP="003E74D8">
            <w:pPr>
              <w:pStyle w:val="BodyText"/>
              <w:spacing w:line="249" w:lineRule="auto"/>
              <w:ind w:right="63"/>
              <w:jc w:val="both"/>
              <w:rPr>
                <w:color w:val="0C0C0C"/>
                <w:w w:val="105"/>
                <w:sz w:val="22"/>
                <w:szCs w:val="22"/>
              </w:rPr>
            </w:pPr>
          </w:p>
          <w:p w14:paraId="7ADCC97A"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2,057,760 or 74.54%</w:t>
            </w:r>
          </w:p>
        </w:tc>
        <w:tc>
          <w:tcPr>
            <w:tcW w:w="2238" w:type="dxa"/>
          </w:tcPr>
          <w:p w14:paraId="032A4343" w14:textId="77777777" w:rsidR="00AB5B48" w:rsidRDefault="00AB5B48" w:rsidP="003E74D8">
            <w:pPr>
              <w:pStyle w:val="BodyText"/>
              <w:spacing w:line="249" w:lineRule="auto"/>
              <w:ind w:right="63"/>
              <w:jc w:val="both"/>
              <w:rPr>
                <w:color w:val="0C0C0C"/>
                <w:w w:val="105"/>
                <w:sz w:val="22"/>
                <w:szCs w:val="22"/>
              </w:rPr>
            </w:pPr>
          </w:p>
          <w:p w14:paraId="07631139" w14:textId="77777777" w:rsidR="00AB5B48" w:rsidRDefault="00AB5B48" w:rsidP="003E74D8">
            <w:pPr>
              <w:pStyle w:val="BodyText"/>
              <w:spacing w:line="249" w:lineRule="auto"/>
              <w:ind w:right="63"/>
              <w:jc w:val="both"/>
              <w:rPr>
                <w:color w:val="0C0C0C"/>
                <w:w w:val="105"/>
                <w:sz w:val="22"/>
                <w:szCs w:val="22"/>
              </w:rPr>
            </w:pPr>
          </w:p>
          <w:p w14:paraId="7E986DCE"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702,731 or 25.46%</w:t>
            </w:r>
          </w:p>
        </w:tc>
      </w:tr>
      <w:tr w:rsidR="00AB5B48" w14:paraId="1F74579F" w14:textId="77777777" w:rsidTr="003E74D8">
        <w:tc>
          <w:tcPr>
            <w:tcW w:w="4816" w:type="dxa"/>
          </w:tcPr>
          <w:p w14:paraId="3CC5FE63"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Votes cast by shareholders holding more than 100,000 subordinated voting shares or more than 100,000 proportionate voting shares who will remain as shareholders of the Company, excluding votes required to be excluded pursuant to MI 61-101</w:t>
            </w:r>
          </w:p>
        </w:tc>
        <w:tc>
          <w:tcPr>
            <w:tcW w:w="2410" w:type="dxa"/>
          </w:tcPr>
          <w:p w14:paraId="12BCDD9B" w14:textId="77777777" w:rsidR="00AB5B48" w:rsidRDefault="00AB5B48" w:rsidP="003E74D8">
            <w:pPr>
              <w:pStyle w:val="BodyText"/>
              <w:spacing w:line="249" w:lineRule="auto"/>
              <w:ind w:right="63"/>
              <w:jc w:val="both"/>
              <w:rPr>
                <w:color w:val="0C0C0C"/>
                <w:w w:val="105"/>
                <w:sz w:val="22"/>
                <w:szCs w:val="22"/>
              </w:rPr>
            </w:pPr>
          </w:p>
          <w:p w14:paraId="728E3B47" w14:textId="77777777" w:rsidR="00AB5B48" w:rsidRDefault="00AB5B48" w:rsidP="003E74D8">
            <w:pPr>
              <w:pStyle w:val="BodyText"/>
              <w:spacing w:line="249" w:lineRule="auto"/>
              <w:ind w:right="63"/>
              <w:jc w:val="both"/>
              <w:rPr>
                <w:color w:val="0C0C0C"/>
                <w:w w:val="105"/>
                <w:sz w:val="22"/>
                <w:szCs w:val="22"/>
              </w:rPr>
            </w:pPr>
          </w:p>
          <w:p w14:paraId="558506EE"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30,516,721 or 99.01%</w:t>
            </w:r>
          </w:p>
        </w:tc>
        <w:tc>
          <w:tcPr>
            <w:tcW w:w="2238" w:type="dxa"/>
          </w:tcPr>
          <w:p w14:paraId="6B67C747" w14:textId="77777777" w:rsidR="00AB5B48" w:rsidRDefault="00AB5B48" w:rsidP="003E74D8">
            <w:pPr>
              <w:pStyle w:val="BodyText"/>
              <w:spacing w:line="249" w:lineRule="auto"/>
              <w:ind w:right="63"/>
              <w:jc w:val="both"/>
              <w:rPr>
                <w:color w:val="0C0C0C"/>
                <w:w w:val="105"/>
                <w:sz w:val="22"/>
                <w:szCs w:val="22"/>
              </w:rPr>
            </w:pPr>
          </w:p>
          <w:p w14:paraId="0754E170" w14:textId="77777777" w:rsidR="00AB5B48" w:rsidRDefault="00AB5B48" w:rsidP="003E74D8">
            <w:pPr>
              <w:pStyle w:val="BodyText"/>
              <w:spacing w:line="249" w:lineRule="auto"/>
              <w:ind w:right="63"/>
              <w:jc w:val="both"/>
              <w:rPr>
                <w:color w:val="0C0C0C"/>
                <w:w w:val="105"/>
                <w:sz w:val="22"/>
                <w:szCs w:val="22"/>
              </w:rPr>
            </w:pPr>
          </w:p>
          <w:p w14:paraId="5E5935DD" w14:textId="77777777" w:rsidR="00AB5B48" w:rsidRDefault="00AB5B48" w:rsidP="003E74D8">
            <w:pPr>
              <w:pStyle w:val="BodyText"/>
              <w:spacing w:line="249" w:lineRule="auto"/>
              <w:ind w:right="63"/>
              <w:jc w:val="both"/>
              <w:rPr>
                <w:color w:val="0C0C0C"/>
                <w:w w:val="105"/>
                <w:sz w:val="22"/>
                <w:szCs w:val="22"/>
              </w:rPr>
            </w:pPr>
            <w:r>
              <w:rPr>
                <w:color w:val="0C0C0C"/>
                <w:w w:val="105"/>
                <w:sz w:val="22"/>
                <w:szCs w:val="22"/>
              </w:rPr>
              <w:t>303,800 or 0.99%</w:t>
            </w:r>
          </w:p>
        </w:tc>
      </w:tr>
    </w:tbl>
    <w:p w14:paraId="4D523DA9" w14:textId="77777777" w:rsidR="00AB5B48" w:rsidRPr="000A2523" w:rsidRDefault="00AB5B48" w:rsidP="00AB5B48">
      <w:pPr>
        <w:pStyle w:val="BodyText"/>
        <w:spacing w:line="249" w:lineRule="auto"/>
        <w:ind w:left="112" w:right="63" w:firstLine="8"/>
        <w:jc w:val="both"/>
        <w:rPr>
          <w:color w:val="0C0C0C"/>
          <w:w w:val="105"/>
          <w:sz w:val="22"/>
          <w:szCs w:val="22"/>
        </w:rPr>
      </w:pPr>
    </w:p>
    <w:p w14:paraId="6714607F" w14:textId="77777777" w:rsidR="00AB5B48" w:rsidRPr="00611717" w:rsidRDefault="00AB5B48" w:rsidP="00AB5B48">
      <w:pPr>
        <w:pStyle w:val="BodyText"/>
        <w:spacing w:before="8"/>
        <w:jc w:val="both"/>
        <w:rPr>
          <w:sz w:val="22"/>
          <w:szCs w:val="22"/>
        </w:rPr>
      </w:pPr>
    </w:p>
    <w:p w14:paraId="13C6DBC1" w14:textId="77777777" w:rsidR="00AB5B48" w:rsidRDefault="00AB5B48" w:rsidP="00AB5B48">
      <w:pPr>
        <w:pStyle w:val="BodyText"/>
        <w:spacing w:line="249" w:lineRule="auto"/>
        <w:ind w:left="112" w:right="63" w:firstLine="8"/>
        <w:jc w:val="both"/>
        <w:rPr>
          <w:color w:val="0C0C0C"/>
          <w:w w:val="105"/>
          <w:sz w:val="22"/>
          <w:szCs w:val="22"/>
        </w:rPr>
      </w:pPr>
      <w:r>
        <w:rPr>
          <w:color w:val="0C0C0C"/>
          <w:w w:val="105"/>
          <w:sz w:val="22"/>
          <w:szCs w:val="22"/>
        </w:rPr>
        <w:t xml:space="preserve">The going private transaction has been carried out as a consolidation of the outstanding subordinate voting shares and outstanding proportionate voting shares of the Company </w:t>
      </w:r>
      <w:proofErr w:type="gramStart"/>
      <w:r>
        <w:rPr>
          <w:color w:val="0C0C0C"/>
          <w:w w:val="105"/>
          <w:sz w:val="22"/>
          <w:szCs w:val="22"/>
        </w:rPr>
        <w:t>on the basis of</w:t>
      </w:r>
      <w:proofErr w:type="gramEnd"/>
      <w:r>
        <w:rPr>
          <w:color w:val="0C0C0C"/>
          <w:w w:val="105"/>
          <w:sz w:val="22"/>
          <w:szCs w:val="22"/>
        </w:rPr>
        <w:t xml:space="preserve"> one post-consolidated subordinate voting share for every 100,000 pre-consolidated subordinate voting shares </w:t>
      </w:r>
      <w:r>
        <w:rPr>
          <w:color w:val="0C0C0C"/>
          <w:w w:val="105"/>
          <w:sz w:val="22"/>
          <w:szCs w:val="22"/>
        </w:rPr>
        <w:lastRenderedPageBreak/>
        <w:t>and one post-consolidated proportionate voting share for every 100,000 pre-consolidated proportionate voting shares (the “</w:t>
      </w:r>
      <w:r w:rsidRPr="006457CA">
        <w:rPr>
          <w:b/>
          <w:color w:val="0C0C0C"/>
          <w:w w:val="105"/>
          <w:sz w:val="22"/>
          <w:szCs w:val="22"/>
        </w:rPr>
        <w:t>Consolidation</w:t>
      </w:r>
      <w:r>
        <w:rPr>
          <w:color w:val="0C0C0C"/>
          <w:w w:val="105"/>
          <w:sz w:val="22"/>
          <w:szCs w:val="22"/>
        </w:rPr>
        <w:t>”).   Fractional subordinate voting shares and proportionate voting shares will be cancelled, and each former holder of a fractional subordinate voting share or proportionate voting share will be entitled to receive $0.62 in cash for each pre-consolidated subordinate voting share or proportionate voting share previously held represented by such cancelled fractional share (with no amount being paid to a holder of shares who would be entitled to receive, net of withholding taxes, less than $10).</w:t>
      </w:r>
    </w:p>
    <w:p w14:paraId="4EE93901" w14:textId="77777777" w:rsidR="00AB5B48" w:rsidRDefault="00AB5B48" w:rsidP="00AB5B48">
      <w:pPr>
        <w:pStyle w:val="BodyText"/>
        <w:spacing w:line="249" w:lineRule="auto"/>
        <w:ind w:left="112" w:right="63" w:firstLine="8"/>
        <w:jc w:val="both"/>
        <w:rPr>
          <w:color w:val="0C0C0C"/>
          <w:w w:val="105"/>
          <w:sz w:val="22"/>
          <w:szCs w:val="22"/>
        </w:rPr>
      </w:pPr>
    </w:p>
    <w:p w14:paraId="643CB68D" w14:textId="77777777" w:rsidR="00AB5B48" w:rsidRDefault="00AB5B48" w:rsidP="00AB5B48">
      <w:pPr>
        <w:pStyle w:val="BodyText"/>
        <w:spacing w:line="249" w:lineRule="auto"/>
        <w:ind w:left="112" w:right="63" w:firstLine="8"/>
        <w:jc w:val="both"/>
        <w:rPr>
          <w:color w:val="0C0C0C"/>
          <w:w w:val="105"/>
          <w:sz w:val="22"/>
          <w:szCs w:val="22"/>
        </w:rPr>
      </w:pPr>
      <w:r>
        <w:rPr>
          <w:color w:val="0C0C0C"/>
          <w:w w:val="105"/>
          <w:sz w:val="22"/>
          <w:szCs w:val="22"/>
        </w:rPr>
        <w:t>In order for former holders of subordinate voting shares to receive the cash amount to be paid to them for their fractional subordinate voting shares, the certificates representing the pre-consolidated subordinate voting shares must be delivered to Odyssey Trust Company together with a duly completed and signed Letter of Transmittal in the form delivered to holders of subordinate voting shares with the Notice of Meeting and accompanying Information Circular dated July 22, 2022 of the Company.   There is no settlement date or distribution date on which funds are to be distributed.</w:t>
      </w:r>
    </w:p>
    <w:p w14:paraId="08341B3D" w14:textId="77777777" w:rsidR="00AB5B48" w:rsidRDefault="00AB5B48" w:rsidP="00AB5B48">
      <w:pPr>
        <w:pStyle w:val="BodyText"/>
        <w:spacing w:line="249" w:lineRule="auto"/>
        <w:ind w:left="112" w:right="63" w:firstLine="8"/>
        <w:jc w:val="both"/>
        <w:rPr>
          <w:color w:val="0C0C0C"/>
          <w:w w:val="105"/>
          <w:sz w:val="22"/>
          <w:szCs w:val="22"/>
        </w:rPr>
      </w:pPr>
    </w:p>
    <w:p w14:paraId="5205A8BC" w14:textId="77777777" w:rsidR="004328DD" w:rsidRDefault="00AB5B48" w:rsidP="004328DD">
      <w:pPr>
        <w:pStyle w:val="BodyText"/>
        <w:spacing w:line="249" w:lineRule="auto"/>
        <w:ind w:left="112" w:right="63" w:firstLine="8"/>
        <w:jc w:val="both"/>
        <w:rPr>
          <w:color w:val="0C0C0C"/>
          <w:w w:val="105"/>
          <w:sz w:val="22"/>
          <w:szCs w:val="22"/>
        </w:rPr>
      </w:pPr>
      <w:r>
        <w:rPr>
          <w:color w:val="0C0C0C"/>
          <w:w w:val="105"/>
          <w:sz w:val="22"/>
          <w:szCs w:val="22"/>
        </w:rPr>
        <w:t xml:space="preserve">As a result of the Consolidation the Company has applied to the CSE to have its subordinate voting shares delisted from trading on the Exchange, and the subordinated voting shares of the Company have been halt traded prior to market open on August 29, 2022, in anticipation of delisting.  </w:t>
      </w:r>
      <w:r w:rsidR="004328DD">
        <w:rPr>
          <w:color w:val="0C0C0C"/>
          <w:w w:val="105"/>
          <w:sz w:val="22"/>
          <w:szCs w:val="22"/>
        </w:rPr>
        <w:t xml:space="preserve">The Company </w:t>
      </w:r>
      <w:r w:rsidR="00064C9B">
        <w:rPr>
          <w:color w:val="0C0C0C"/>
          <w:w w:val="105"/>
          <w:sz w:val="22"/>
          <w:szCs w:val="22"/>
        </w:rPr>
        <w:t>intends to apply</w:t>
      </w:r>
      <w:r w:rsidR="004328DD">
        <w:rPr>
          <w:color w:val="0C0C0C"/>
          <w:w w:val="105"/>
          <w:sz w:val="22"/>
          <w:szCs w:val="22"/>
        </w:rPr>
        <w:t xml:space="preserve"> to the applicable Canadian </w:t>
      </w:r>
      <w:proofErr w:type="gramStart"/>
      <w:r w:rsidR="004328DD">
        <w:rPr>
          <w:color w:val="0C0C0C"/>
          <w:w w:val="105"/>
          <w:sz w:val="22"/>
          <w:szCs w:val="22"/>
        </w:rPr>
        <w:t>securities</w:t>
      </w:r>
      <w:proofErr w:type="gramEnd"/>
      <w:r w:rsidR="004328DD">
        <w:rPr>
          <w:color w:val="0C0C0C"/>
          <w:w w:val="105"/>
          <w:sz w:val="22"/>
          <w:szCs w:val="22"/>
        </w:rPr>
        <w:t xml:space="preserve"> regulatory authorities for an order that the Company is longer a reporting issuer under Canadian securities laws.</w:t>
      </w:r>
    </w:p>
    <w:p w14:paraId="3E270944" w14:textId="77777777" w:rsidR="00AB5B48" w:rsidRDefault="00AB5B48" w:rsidP="00AB5B48">
      <w:pPr>
        <w:pStyle w:val="BodyText"/>
        <w:spacing w:line="249" w:lineRule="auto"/>
        <w:ind w:left="112" w:right="63" w:firstLine="8"/>
        <w:jc w:val="both"/>
        <w:rPr>
          <w:color w:val="0C0C0C"/>
          <w:w w:val="105"/>
          <w:sz w:val="22"/>
          <w:szCs w:val="22"/>
        </w:rPr>
      </w:pPr>
    </w:p>
    <w:p w14:paraId="7A9B4ECA" w14:textId="77777777" w:rsidR="00AB5B48" w:rsidRPr="00611717" w:rsidRDefault="00AB5B48" w:rsidP="00AB5B48">
      <w:pPr>
        <w:pStyle w:val="BodyText"/>
        <w:spacing w:line="252" w:lineRule="auto"/>
        <w:ind w:right="185"/>
        <w:jc w:val="both"/>
        <w:rPr>
          <w:sz w:val="22"/>
          <w:szCs w:val="22"/>
        </w:rPr>
      </w:pPr>
    </w:p>
    <w:p w14:paraId="332A9A76" w14:textId="77777777" w:rsidR="00AB5B48" w:rsidRPr="00611717" w:rsidRDefault="00AB5B48" w:rsidP="00AB5B48">
      <w:pPr>
        <w:pStyle w:val="BodyText"/>
        <w:spacing w:before="2"/>
        <w:jc w:val="both"/>
        <w:rPr>
          <w:sz w:val="22"/>
          <w:szCs w:val="22"/>
        </w:rPr>
      </w:pPr>
    </w:p>
    <w:p w14:paraId="04747D1C" w14:textId="77777777" w:rsidR="00AB5B48" w:rsidRPr="00611717" w:rsidRDefault="00AB5B48" w:rsidP="00AB5B48">
      <w:pPr>
        <w:spacing w:line="249" w:lineRule="auto"/>
        <w:ind w:left="121" w:right="79" w:firstLine="2"/>
        <w:jc w:val="both"/>
        <w:rPr>
          <w:i/>
        </w:rPr>
      </w:pPr>
      <w:r w:rsidRPr="00611717">
        <w:rPr>
          <w:i/>
          <w:color w:val="0E0E0E"/>
          <w:w w:val="105"/>
        </w:rPr>
        <w:t>Neither the Canadian Securities Exchange nor its Regulation Service Provider (as that term is defined in the policies of the Canadian Securities Exchange) accepts responsibility for the adequacy or accuracy of this release.</w:t>
      </w:r>
    </w:p>
    <w:p w14:paraId="03F03F4B" w14:textId="77777777" w:rsidR="00AB5B48" w:rsidRPr="00611717" w:rsidRDefault="00AB5B48" w:rsidP="00AB5B48">
      <w:pPr>
        <w:pStyle w:val="BodyText"/>
        <w:spacing w:before="4"/>
        <w:jc w:val="both"/>
        <w:rPr>
          <w:i/>
          <w:sz w:val="22"/>
          <w:szCs w:val="22"/>
        </w:rPr>
      </w:pPr>
    </w:p>
    <w:p w14:paraId="32B8C27D" w14:textId="77777777" w:rsidR="00AB5B48" w:rsidRPr="00611717" w:rsidRDefault="00AB5B48" w:rsidP="00AB5B48">
      <w:pPr>
        <w:pStyle w:val="BodyText"/>
        <w:spacing w:before="4"/>
        <w:jc w:val="both"/>
        <w:rPr>
          <w:i/>
          <w:sz w:val="22"/>
          <w:szCs w:val="22"/>
        </w:rPr>
      </w:pPr>
    </w:p>
    <w:p w14:paraId="750A0F9F" w14:textId="77777777" w:rsidR="00AB5B48" w:rsidRPr="00611717" w:rsidRDefault="00AB5B48" w:rsidP="00AB5B48">
      <w:pPr>
        <w:spacing w:before="1"/>
        <w:ind w:left="125"/>
        <w:jc w:val="both"/>
        <w:rPr>
          <w:b/>
        </w:rPr>
      </w:pPr>
      <w:r w:rsidRPr="00611717">
        <w:rPr>
          <w:b/>
          <w:color w:val="131313"/>
          <w:w w:val="105"/>
        </w:rPr>
        <w:t>Contacts</w:t>
      </w:r>
    </w:p>
    <w:p w14:paraId="1E063B47" w14:textId="77777777" w:rsidR="00AB5B48" w:rsidRPr="00611717" w:rsidRDefault="00AB5B48" w:rsidP="00AB5B48">
      <w:pPr>
        <w:pStyle w:val="BodyText"/>
        <w:spacing w:before="8"/>
        <w:jc w:val="both"/>
        <w:rPr>
          <w:b/>
          <w:sz w:val="22"/>
          <w:szCs w:val="22"/>
        </w:rPr>
      </w:pPr>
    </w:p>
    <w:p w14:paraId="701CD7A6" w14:textId="77777777" w:rsidR="00AB5B48" w:rsidRPr="00611717" w:rsidRDefault="00AB5B48" w:rsidP="00AB5B48">
      <w:pPr>
        <w:pStyle w:val="BodyText"/>
        <w:spacing w:line="252" w:lineRule="auto"/>
        <w:ind w:left="120" w:right="6143" w:firstLine="3"/>
        <w:jc w:val="both"/>
        <w:rPr>
          <w:sz w:val="22"/>
          <w:szCs w:val="22"/>
        </w:rPr>
      </w:pPr>
      <w:r w:rsidRPr="00611717">
        <w:rPr>
          <w:color w:val="131313"/>
          <w:w w:val="105"/>
          <w:sz w:val="22"/>
          <w:szCs w:val="22"/>
        </w:rPr>
        <w:t>Paul Hughes, General Counsel Tel: 416-452-1901</w:t>
      </w:r>
    </w:p>
    <w:p w14:paraId="1D89F8BD" w14:textId="77777777" w:rsidR="00AB5B48" w:rsidRPr="00611717" w:rsidRDefault="00AB5B48" w:rsidP="00AB5B48">
      <w:pPr>
        <w:pStyle w:val="BodyText"/>
        <w:spacing w:before="2"/>
        <w:ind w:left="122"/>
        <w:jc w:val="both"/>
        <w:rPr>
          <w:sz w:val="22"/>
          <w:szCs w:val="22"/>
        </w:rPr>
      </w:pPr>
      <w:r w:rsidRPr="00611717">
        <w:rPr>
          <w:color w:val="131313"/>
          <w:w w:val="105"/>
          <w:sz w:val="22"/>
          <w:szCs w:val="22"/>
        </w:rPr>
        <w:t xml:space="preserve">Email: </w:t>
      </w:r>
      <w:hyperlink r:id="rId6">
        <w:r w:rsidRPr="00611717">
          <w:rPr>
            <w:color w:val="131313"/>
            <w:w w:val="105"/>
            <w:sz w:val="22"/>
            <w:szCs w:val="22"/>
          </w:rPr>
          <w:t>paul.hughes@ignite.co</w:t>
        </w:r>
      </w:hyperlink>
    </w:p>
    <w:p w14:paraId="511820D5" w14:textId="77777777" w:rsidR="00A620B8" w:rsidRPr="00AB5B48" w:rsidRDefault="00A620B8" w:rsidP="00AB5B48"/>
    <w:sectPr w:rsidR="00A620B8" w:rsidRPr="00AB5B48" w:rsidSect="00657864">
      <w:footerReference w:type="default" r:id="rId7"/>
      <w:headerReference w:type="first" r:id="rId8"/>
      <w:foot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F80A" w14:textId="77777777" w:rsidR="00037805" w:rsidRDefault="00037805" w:rsidP="00037805">
      <w:r>
        <w:separator/>
      </w:r>
    </w:p>
  </w:endnote>
  <w:endnote w:type="continuationSeparator" w:id="0">
    <w:p w14:paraId="2CEBC483" w14:textId="77777777" w:rsidR="00037805" w:rsidRDefault="00037805" w:rsidP="00037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2E9B" w14:textId="77777777" w:rsidR="00037805" w:rsidRPr="009523C8" w:rsidRDefault="009523C8" w:rsidP="009523C8">
    <w:pPr>
      <w:pStyle w:val="Footer"/>
      <w:rPr>
        <w:sz w:val="16"/>
      </w:rPr>
    </w:pPr>
    <w:r w:rsidRPr="009523C8">
      <w:rPr>
        <w:sz w:val="16"/>
      </w:rPr>
      <w:t>44420|7462869_4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D706" w14:textId="77777777" w:rsidR="00037805" w:rsidRPr="009523C8" w:rsidRDefault="009523C8" w:rsidP="009523C8">
    <w:pPr>
      <w:pStyle w:val="Footer"/>
      <w:rPr>
        <w:sz w:val="16"/>
      </w:rPr>
    </w:pPr>
    <w:r w:rsidRPr="009523C8">
      <w:rPr>
        <w:sz w:val="16"/>
      </w:rPr>
      <w:t>44420|7462869_4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71BC" w14:textId="77777777" w:rsidR="00037805" w:rsidRDefault="00037805" w:rsidP="00037805">
      <w:r>
        <w:separator/>
      </w:r>
    </w:p>
  </w:footnote>
  <w:footnote w:type="continuationSeparator" w:id="0">
    <w:p w14:paraId="34C57196" w14:textId="77777777" w:rsidR="00037805" w:rsidRDefault="00037805" w:rsidP="00037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2F16" w14:textId="1265B907" w:rsidR="00657864" w:rsidRDefault="00657864">
    <w:pPr>
      <w:pStyle w:val="Header"/>
    </w:pPr>
    <w:r w:rsidRPr="00506D01">
      <w:rPr>
        <w:rFonts w:asciiTheme="minorHAnsi" w:hAnsiTheme="minorHAnsi" w:cstheme="minorHAnsi"/>
        <w:noProof/>
      </w:rPr>
      <w:drawing>
        <wp:anchor distT="0" distB="0" distL="114300" distR="114300" simplePos="0" relativeHeight="251659264" behindDoc="1" locked="0" layoutInCell="1" allowOverlap="1" wp14:anchorId="63780ECB" wp14:editId="08B08DC0">
          <wp:simplePos x="0" y="0"/>
          <wp:positionH relativeFrom="margin">
            <wp:posOffset>207818</wp:posOffset>
          </wp:positionH>
          <wp:positionV relativeFrom="paragraph">
            <wp:posOffset>-17813</wp:posOffset>
          </wp:positionV>
          <wp:extent cx="5216856" cy="898277"/>
          <wp:effectExtent l="0" t="0" r="3175"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rcRect t="28018"/>
                  <a:stretch>
                    <a:fillRect/>
                  </a:stretch>
                </pic:blipFill>
                <pic:spPr bwMode="auto">
                  <a:xfrm>
                    <a:off x="0" y="0"/>
                    <a:ext cx="5216856" cy="8982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B8"/>
    <w:rsid w:val="00037805"/>
    <w:rsid w:val="00064C9B"/>
    <w:rsid w:val="00067139"/>
    <w:rsid w:val="000A2523"/>
    <w:rsid w:val="000A2D95"/>
    <w:rsid w:val="000B0FFD"/>
    <w:rsid w:val="000D5349"/>
    <w:rsid w:val="000E27AA"/>
    <w:rsid w:val="000E7988"/>
    <w:rsid w:val="00173EC5"/>
    <w:rsid w:val="0026260B"/>
    <w:rsid w:val="002664B4"/>
    <w:rsid w:val="0039085A"/>
    <w:rsid w:val="003F1D49"/>
    <w:rsid w:val="00412F32"/>
    <w:rsid w:val="004328DD"/>
    <w:rsid w:val="0048495C"/>
    <w:rsid w:val="004B3BA3"/>
    <w:rsid w:val="00556678"/>
    <w:rsid w:val="005A1F69"/>
    <w:rsid w:val="005C46F3"/>
    <w:rsid w:val="005D2EB6"/>
    <w:rsid w:val="00611717"/>
    <w:rsid w:val="00640C42"/>
    <w:rsid w:val="006457CA"/>
    <w:rsid w:val="00651171"/>
    <w:rsid w:val="00657864"/>
    <w:rsid w:val="006B244B"/>
    <w:rsid w:val="00773067"/>
    <w:rsid w:val="008616A6"/>
    <w:rsid w:val="0088172D"/>
    <w:rsid w:val="008B3A89"/>
    <w:rsid w:val="00940416"/>
    <w:rsid w:val="009523C8"/>
    <w:rsid w:val="009F45D7"/>
    <w:rsid w:val="00A620B8"/>
    <w:rsid w:val="00AB5B48"/>
    <w:rsid w:val="00AB7543"/>
    <w:rsid w:val="00B03C59"/>
    <w:rsid w:val="00B31160"/>
    <w:rsid w:val="00B31329"/>
    <w:rsid w:val="00B82230"/>
    <w:rsid w:val="00B87B8E"/>
    <w:rsid w:val="00BA2BB3"/>
    <w:rsid w:val="00BF1348"/>
    <w:rsid w:val="00C3478B"/>
    <w:rsid w:val="00C41AF3"/>
    <w:rsid w:val="00CC6F39"/>
    <w:rsid w:val="00D347C0"/>
    <w:rsid w:val="00D46911"/>
    <w:rsid w:val="00DB3C8D"/>
    <w:rsid w:val="00E13D15"/>
    <w:rsid w:val="00E4451A"/>
    <w:rsid w:val="00E54A26"/>
    <w:rsid w:val="00E85268"/>
    <w:rsid w:val="00EF3409"/>
    <w:rsid w:val="00EF7EE3"/>
    <w:rsid w:val="00FA1A5A"/>
    <w:rsid w:val="00FD58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CE5D"/>
  <w15:docId w15:val="{B1A5A92E-303D-40C0-9507-AD7AB4D5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spacing w:before="1"/>
      <w:ind w:left="125"/>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7805"/>
    <w:pPr>
      <w:tabs>
        <w:tab w:val="center" w:pos="4680"/>
        <w:tab w:val="right" w:pos="9360"/>
      </w:tabs>
    </w:pPr>
  </w:style>
  <w:style w:type="character" w:customStyle="1" w:styleId="HeaderChar">
    <w:name w:val="Header Char"/>
    <w:basedOn w:val="DefaultParagraphFont"/>
    <w:link w:val="Header"/>
    <w:uiPriority w:val="99"/>
    <w:rsid w:val="00037805"/>
    <w:rPr>
      <w:rFonts w:ascii="Times New Roman" w:eastAsia="Times New Roman" w:hAnsi="Times New Roman" w:cs="Times New Roman"/>
    </w:rPr>
  </w:style>
  <w:style w:type="paragraph" w:styleId="Footer">
    <w:name w:val="footer"/>
    <w:basedOn w:val="Normal"/>
    <w:link w:val="FooterChar"/>
    <w:uiPriority w:val="99"/>
    <w:unhideWhenUsed/>
    <w:rsid w:val="00037805"/>
    <w:pPr>
      <w:tabs>
        <w:tab w:val="center" w:pos="4680"/>
        <w:tab w:val="right" w:pos="9360"/>
      </w:tabs>
    </w:pPr>
  </w:style>
  <w:style w:type="character" w:customStyle="1" w:styleId="FooterChar">
    <w:name w:val="Footer Char"/>
    <w:basedOn w:val="DefaultParagraphFont"/>
    <w:link w:val="Footer"/>
    <w:uiPriority w:val="99"/>
    <w:rsid w:val="0003780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F3"/>
    <w:rPr>
      <w:rFonts w:ascii="Segoe UI" w:eastAsia="Times New Roman" w:hAnsi="Segoe UI" w:cs="Segoe UI"/>
      <w:sz w:val="18"/>
      <w:szCs w:val="18"/>
    </w:rPr>
  </w:style>
  <w:style w:type="table" w:styleId="TableGrid">
    <w:name w:val="Table Grid"/>
    <w:basedOn w:val="TableNormal"/>
    <w:uiPriority w:val="39"/>
    <w:rsid w:val="00E13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B5B48"/>
    <w:rPr>
      <w:rFonts w:ascii="Times New Roman" w:eastAsia="Times New Roman" w:hAnsi="Times New Roman" w:cs="Times New Roman"/>
      <w:b/>
      <w:bCs/>
      <w:sz w:val="27"/>
      <w:szCs w:val="27"/>
    </w:rPr>
  </w:style>
  <w:style w:type="character" w:customStyle="1" w:styleId="BodyTextChar">
    <w:name w:val="Body Text Char"/>
    <w:basedOn w:val="DefaultParagraphFont"/>
    <w:link w:val="BodyText"/>
    <w:uiPriority w:val="1"/>
    <w:rsid w:val="00AB5B48"/>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hughes@ignite.c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Ignite Announces Proposed Going Private Transaction</vt:lpstr>
    </vt:vector>
  </TitlesOfParts>
  <Company>Farris LLP</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Ignite Announces Proposed Going Private Transaction</dc:title>
  <dc:creator>syang</dc:creator>
  <cp:lastModifiedBy>Carrie Magee</cp:lastModifiedBy>
  <cp:revision>6</cp:revision>
  <cp:lastPrinted>2022-08-15T21:02:00Z</cp:lastPrinted>
  <dcterms:created xsi:type="dcterms:W3CDTF">2022-08-29T00:29:00Z</dcterms:created>
  <dcterms:modified xsi:type="dcterms:W3CDTF">2022-08-30T18:43:00Z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2022-07-22T00:00:00Z</vt:filetime>
  </property>
  <property fmtid="{D5CDD505-2E9C-101B-9397-08002B2CF9AE}" pid="3" name="LastSaved">
    <vt:filetime>2022-07-22T00:00:00Z</vt:filetime>
  </property>
</Properties>
</file>