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CAE" w:rsidRPr="00A11CAE" w:rsidRDefault="00A11CAE" w:rsidP="00C73447">
      <w:pPr>
        <w:jc w:val="center"/>
        <w:rPr>
          <w:rFonts w:ascii="Times New Roman" w:hAnsi="Times New Roman" w:cs="Times New Roman"/>
          <w:b/>
        </w:rPr>
      </w:pPr>
      <w:r w:rsidRPr="00A11CAE">
        <w:rPr>
          <w:rFonts w:ascii="Times New Roman" w:hAnsi="Times New Roman" w:cs="Times New Roman"/>
          <w:b/>
        </w:rPr>
        <w:t>Melrose Bancorp, Inc.</w:t>
      </w:r>
      <w:r w:rsidR="00C73447">
        <w:rPr>
          <w:rFonts w:ascii="Times New Roman" w:hAnsi="Times New Roman" w:cs="Times New Roman"/>
          <w:b/>
        </w:rPr>
        <w:t xml:space="preserve"> </w:t>
      </w:r>
      <w:r w:rsidR="003D045C" w:rsidRPr="00A11CAE">
        <w:rPr>
          <w:rFonts w:ascii="Times New Roman" w:hAnsi="Times New Roman" w:cs="Times New Roman"/>
          <w:b/>
        </w:rPr>
        <w:t xml:space="preserve">Reports 2019 </w:t>
      </w:r>
      <w:r w:rsidR="003D045C">
        <w:rPr>
          <w:rFonts w:ascii="Times New Roman" w:hAnsi="Times New Roman" w:cs="Times New Roman"/>
          <w:b/>
        </w:rPr>
        <w:t xml:space="preserve">Annual </w:t>
      </w:r>
      <w:r w:rsidR="003D045C" w:rsidRPr="00A11CAE">
        <w:rPr>
          <w:rFonts w:ascii="Times New Roman" w:hAnsi="Times New Roman" w:cs="Times New Roman"/>
          <w:b/>
        </w:rPr>
        <w:t>Financial Results</w:t>
      </w:r>
    </w:p>
    <w:p w:rsidR="003F4229" w:rsidRPr="00A11CAE" w:rsidRDefault="003F4229" w:rsidP="009E38FF">
      <w:pPr>
        <w:jc w:val="both"/>
        <w:rPr>
          <w:rFonts w:ascii="Times New Roman" w:hAnsi="Times New Roman" w:cs="Times New Roman"/>
        </w:rPr>
      </w:pPr>
      <w:r w:rsidRPr="00C73447">
        <w:rPr>
          <w:rFonts w:ascii="Times New Roman" w:hAnsi="Times New Roman" w:cs="Times New Roman"/>
        </w:rPr>
        <w:t xml:space="preserve">Melrose, MA, </w:t>
      </w:r>
      <w:r w:rsidR="005D4E34" w:rsidRPr="00C73447">
        <w:rPr>
          <w:rFonts w:ascii="Times New Roman" w:hAnsi="Times New Roman" w:cs="Times New Roman"/>
        </w:rPr>
        <w:t xml:space="preserve">March </w:t>
      </w:r>
      <w:r w:rsidR="00C73447" w:rsidRPr="00C73447">
        <w:rPr>
          <w:rFonts w:ascii="Times New Roman" w:hAnsi="Times New Roman" w:cs="Times New Roman"/>
        </w:rPr>
        <w:t>9</w:t>
      </w:r>
      <w:r w:rsidR="005D4E34" w:rsidRPr="00C73447">
        <w:rPr>
          <w:rFonts w:ascii="Times New Roman" w:hAnsi="Times New Roman" w:cs="Times New Roman"/>
        </w:rPr>
        <w:t>, 2020</w:t>
      </w:r>
      <w:r w:rsidRPr="00A11CAE">
        <w:rPr>
          <w:rFonts w:ascii="Times New Roman" w:hAnsi="Times New Roman" w:cs="Times New Roman"/>
        </w:rPr>
        <w:t>.  Melrose Bancorp, Inc. (OTC: MELR) (“Company</w:t>
      </w:r>
      <w:r w:rsidR="00163531">
        <w:rPr>
          <w:rFonts w:ascii="Times New Roman" w:hAnsi="Times New Roman" w:cs="Times New Roman"/>
        </w:rPr>
        <w:t>”</w:t>
      </w:r>
      <w:r w:rsidRPr="00A11CAE">
        <w:rPr>
          <w:rFonts w:ascii="Times New Roman" w:hAnsi="Times New Roman" w:cs="Times New Roman"/>
        </w:rPr>
        <w:t xml:space="preserve">), the parent holding company of Melrose Bank (“Bank”), today announced its results of operations for the </w:t>
      </w:r>
      <w:r w:rsidR="00C0728C">
        <w:rPr>
          <w:rFonts w:ascii="Times New Roman" w:hAnsi="Times New Roman" w:cs="Times New Roman"/>
        </w:rPr>
        <w:t>year</w:t>
      </w:r>
      <w:r w:rsidRPr="00A11CAE">
        <w:rPr>
          <w:rFonts w:ascii="Times New Roman" w:hAnsi="Times New Roman" w:cs="Times New Roman"/>
        </w:rPr>
        <w:t xml:space="preserve"> ended </w:t>
      </w:r>
      <w:r w:rsidR="00C0728C">
        <w:rPr>
          <w:rFonts w:ascii="Times New Roman" w:hAnsi="Times New Roman" w:cs="Times New Roman"/>
        </w:rPr>
        <w:t>December 31</w:t>
      </w:r>
      <w:r w:rsidRPr="00A11CAE">
        <w:rPr>
          <w:rFonts w:ascii="Times New Roman" w:hAnsi="Times New Roman" w:cs="Times New Roman"/>
        </w:rPr>
        <w:t>, 2019.</w:t>
      </w:r>
    </w:p>
    <w:p w:rsidR="003F4229" w:rsidRDefault="003F4229" w:rsidP="009E38FF">
      <w:pPr>
        <w:jc w:val="both"/>
        <w:rPr>
          <w:rFonts w:ascii="Times New Roman" w:hAnsi="Times New Roman" w:cs="Times New Roman"/>
        </w:rPr>
      </w:pPr>
      <w:r w:rsidRPr="00A11CAE">
        <w:rPr>
          <w:rFonts w:ascii="Times New Roman" w:hAnsi="Times New Roman" w:cs="Times New Roman"/>
        </w:rPr>
        <w:t xml:space="preserve">The Company’s net income for the </w:t>
      </w:r>
      <w:r w:rsidR="00C0728C">
        <w:rPr>
          <w:rFonts w:ascii="Times New Roman" w:hAnsi="Times New Roman" w:cs="Times New Roman"/>
        </w:rPr>
        <w:t>year</w:t>
      </w:r>
      <w:r w:rsidRPr="00A11CAE">
        <w:rPr>
          <w:rFonts w:ascii="Times New Roman" w:hAnsi="Times New Roman" w:cs="Times New Roman"/>
        </w:rPr>
        <w:t xml:space="preserve"> ended </w:t>
      </w:r>
      <w:r w:rsidR="00C0728C">
        <w:rPr>
          <w:rFonts w:ascii="Times New Roman" w:hAnsi="Times New Roman" w:cs="Times New Roman"/>
        </w:rPr>
        <w:t>December 31</w:t>
      </w:r>
      <w:r w:rsidR="00C0728C" w:rsidRPr="00A11CAE">
        <w:rPr>
          <w:rFonts w:ascii="Times New Roman" w:hAnsi="Times New Roman" w:cs="Times New Roman"/>
        </w:rPr>
        <w:t xml:space="preserve">, 2019 </w:t>
      </w:r>
      <w:r w:rsidRPr="00A11CAE">
        <w:rPr>
          <w:rFonts w:ascii="Times New Roman" w:hAnsi="Times New Roman" w:cs="Times New Roman"/>
        </w:rPr>
        <w:t>was $</w:t>
      </w:r>
      <w:r w:rsidR="00D605DA">
        <w:rPr>
          <w:rFonts w:ascii="Times New Roman" w:hAnsi="Times New Roman" w:cs="Times New Roman"/>
        </w:rPr>
        <w:t>50</w:t>
      </w:r>
      <w:r w:rsidR="00A67F31">
        <w:rPr>
          <w:rFonts w:ascii="Times New Roman" w:hAnsi="Times New Roman" w:cs="Times New Roman"/>
        </w:rPr>
        <w:t>2,000</w:t>
      </w:r>
      <w:r w:rsidR="00163531">
        <w:rPr>
          <w:rFonts w:ascii="Times New Roman" w:hAnsi="Times New Roman" w:cs="Times New Roman"/>
        </w:rPr>
        <w:t>,</w:t>
      </w:r>
      <w:r w:rsidR="004F0ED1" w:rsidRPr="00A11CAE">
        <w:rPr>
          <w:rFonts w:ascii="Times New Roman" w:hAnsi="Times New Roman" w:cs="Times New Roman"/>
        </w:rPr>
        <w:t xml:space="preserve"> or $0.</w:t>
      </w:r>
      <w:r w:rsidR="00D605DA">
        <w:rPr>
          <w:rFonts w:ascii="Times New Roman" w:hAnsi="Times New Roman" w:cs="Times New Roman"/>
        </w:rPr>
        <w:t>2</w:t>
      </w:r>
      <w:r w:rsidR="00A67F31">
        <w:rPr>
          <w:rFonts w:ascii="Times New Roman" w:hAnsi="Times New Roman" w:cs="Times New Roman"/>
        </w:rPr>
        <w:t>3</w:t>
      </w:r>
      <w:r w:rsidR="001D1C99" w:rsidRPr="00A11CAE">
        <w:rPr>
          <w:rFonts w:ascii="Times New Roman" w:hAnsi="Times New Roman" w:cs="Times New Roman"/>
        </w:rPr>
        <w:t xml:space="preserve"> per diluted share, compared to net income of $</w:t>
      </w:r>
      <w:r w:rsidR="00C0728C">
        <w:rPr>
          <w:rFonts w:ascii="Times New Roman" w:hAnsi="Times New Roman" w:cs="Times New Roman"/>
        </w:rPr>
        <w:t>1.8 million</w:t>
      </w:r>
      <w:r w:rsidR="00163531">
        <w:rPr>
          <w:rFonts w:ascii="Times New Roman" w:hAnsi="Times New Roman" w:cs="Times New Roman"/>
        </w:rPr>
        <w:t>,</w:t>
      </w:r>
      <w:r w:rsidR="001D1C99" w:rsidRPr="00A11CAE">
        <w:rPr>
          <w:rFonts w:ascii="Times New Roman" w:hAnsi="Times New Roman" w:cs="Times New Roman"/>
        </w:rPr>
        <w:t xml:space="preserve"> or $0.</w:t>
      </w:r>
      <w:r w:rsidR="00C0728C">
        <w:rPr>
          <w:rFonts w:ascii="Times New Roman" w:hAnsi="Times New Roman" w:cs="Times New Roman"/>
        </w:rPr>
        <w:t>74</w:t>
      </w:r>
      <w:r w:rsidR="001D1C99" w:rsidRPr="00A11CAE">
        <w:rPr>
          <w:rFonts w:ascii="Times New Roman" w:hAnsi="Times New Roman" w:cs="Times New Roman"/>
        </w:rPr>
        <w:t xml:space="preserve"> per diluted share</w:t>
      </w:r>
      <w:r w:rsidR="00163531">
        <w:rPr>
          <w:rFonts w:ascii="Times New Roman" w:hAnsi="Times New Roman" w:cs="Times New Roman"/>
        </w:rPr>
        <w:t>,</w:t>
      </w:r>
      <w:r w:rsidR="001D1C99" w:rsidRPr="00A11CAE">
        <w:rPr>
          <w:rFonts w:ascii="Times New Roman" w:hAnsi="Times New Roman" w:cs="Times New Roman"/>
        </w:rPr>
        <w:t xml:space="preserve"> for 2018.</w:t>
      </w:r>
      <w:r w:rsidR="007742AD" w:rsidRPr="00A11CAE">
        <w:rPr>
          <w:rFonts w:ascii="Times New Roman" w:hAnsi="Times New Roman" w:cs="Times New Roman"/>
        </w:rPr>
        <w:t xml:space="preserve"> The decreas</w:t>
      </w:r>
      <w:r w:rsidR="00A67F31">
        <w:rPr>
          <w:rFonts w:ascii="Times New Roman" w:hAnsi="Times New Roman" w:cs="Times New Roman"/>
        </w:rPr>
        <w:t xml:space="preserve">e in net income </w:t>
      </w:r>
      <w:r w:rsidR="00C73447">
        <w:rPr>
          <w:rFonts w:ascii="Times New Roman" w:hAnsi="Times New Roman" w:cs="Times New Roman"/>
        </w:rPr>
        <w:t>resulted significantly from</w:t>
      </w:r>
      <w:r w:rsidR="00A67F31">
        <w:rPr>
          <w:rFonts w:ascii="Times New Roman" w:hAnsi="Times New Roman" w:cs="Times New Roman"/>
        </w:rPr>
        <w:t xml:space="preserve"> merger</w:t>
      </w:r>
      <w:r w:rsidR="00C73447">
        <w:rPr>
          <w:rFonts w:ascii="Times New Roman" w:hAnsi="Times New Roman" w:cs="Times New Roman"/>
        </w:rPr>
        <w:t>-</w:t>
      </w:r>
      <w:r w:rsidR="00A67F31">
        <w:rPr>
          <w:rFonts w:ascii="Times New Roman" w:hAnsi="Times New Roman" w:cs="Times New Roman"/>
        </w:rPr>
        <w:t>related expense of $</w:t>
      </w:r>
      <w:r w:rsidR="00D605DA">
        <w:rPr>
          <w:rFonts w:ascii="Times New Roman" w:hAnsi="Times New Roman" w:cs="Times New Roman"/>
        </w:rPr>
        <w:t>600</w:t>
      </w:r>
      <w:r w:rsidR="00A67F31">
        <w:rPr>
          <w:rFonts w:ascii="Times New Roman" w:hAnsi="Times New Roman" w:cs="Times New Roman"/>
        </w:rPr>
        <w:t>,000,</w:t>
      </w:r>
      <w:r w:rsidR="00C3259B">
        <w:rPr>
          <w:rFonts w:ascii="Times New Roman" w:hAnsi="Times New Roman" w:cs="Times New Roman"/>
        </w:rPr>
        <w:t xml:space="preserve"> </w:t>
      </w:r>
      <w:r w:rsidR="00920C4D">
        <w:rPr>
          <w:rFonts w:ascii="Times New Roman" w:hAnsi="Times New Roman" w:cs="Times New Roman"/>
        </w:rPr>
        <w:t>related to the merger announced on December 18, 2019</w:t>
      </w:r>
      <w:r w:rsidR="00C73447">
        <w:rPr>
          <w:rFonts w:ascii="Times New Roman" w:hAnsi="Times New Roman" w:cs="Times New Roman"/>
        </w:rPr>
        <w:t>,</w:t>
      </w:r>
      <w:r w:rsidR="00920C4D">
        <w:rPr>
          <w:rFonts w:ascii="Times New Roman" w:hAnsi="Times New Roman" w:cs="Times New Roman"/>
        </w:rPr>
        <w:t xml:space="preserve"> </w:t>
      </w:r>
      <w:r w:rsidR="00C73447">
        <w:rPr>
          <w:rFonts w:ascii="Times New Roman" w:hAnsi="Times New Roman" w:cs="Times New Roman"/>
        </w:rPr>
        <w:t>a</w:t>
      </w:r>
      <w:r w:rsidR="00C3259B" w:rsidRPr="00A11CAE">
        <w:rPr>
          <w:rFonts w:ascii="Times New Roman" w:hAnsi="Times New Roman" w:cs="Times New Roman"/>
        </w:rPr>
        <w:t>n increase in non-interest expense</w:t>
      </w:r>
      <w:r w:rsidR="003D045C">
        <w:rPr>
          <w:rFonts w:ascii="Times New Roman" w:hAnsi="Times New Roman" w:cs="Times New Roman"/>
        </w:rPr>
        <w:t xml:space="preserve"> (excluding merger expenses)</w:t>
      </w:r>
      <w:r w:rsidR="003D045C" w:rsidRPr="00A11CAE">
        <w:rPr>
          <w:rFonts w:ascii="Times New Roman" w:hAnsi="Times New Roman" w:cs="Times New Roman"/>
        </w:rPr>
        <w:t xml:space="preserve"> </w:t>
      </w:r>
      <w:r w:rsidR="00C3259B" w:rsidRPr="00A11CAE">
        <w:rPr>
          <w:rFonts w:ascii="Times New Roman" w:hAnsi="Times New Roman" w:cs="Times New Roman"/>
        </w:rPr>
        <w:t>of $</w:t>
      </w:r>
      <w:r w:rsidR="00D605DA">
        <w:rPr>
          <w:rFonts w:ascii="Times New Roman" w:hAnsi="Times New Roman" w:cs="Times New Roman"/>
        </w:rPr>
        <w:t>483</w:t>
      </w:r>
      <w:r w:rsidR="00C0728C">
        <w:rPr>
          <w:rFonts w:ascii="Times New Roman" w:hAnsi="Times New Roman" w:cs="Times New Roman"/>
        </w:rPr>
        <w:t>,000</w:t>
      </w:r>
      <w:r w:rsidR="00C3259B" w:rsidRPr="00A11CAE">
        <w:rPr>
          <w:rFonts w:ascii="Times New Roman" w:hAnsi="Times New Roman" w:cs="Times New Roman"/>
        </w:rPr>
        <w:t xml:space="preserve">, or </w:t>
      </w:r>
      <w:r w:rsidR="00D605DA">
        <w:rPr>
          <w:rFonts w:ascii="Times New Roman" w:hAnsi="Times New Roman" w:cs="Times New Roman"/>
        </w:rPr>
        <w:t>8.7</w:t>
      </w:r>
      <w:r w:rsidR="00C3259B" w:rsidRPr="00A11CAE">
        <w:rPr>
          <w:rFonts w:ascii="Times New Roman" w:hAnsi="Times New Roman" w:cs="Times New Roman"/>
        </w:rPr>
        <w:t>%</w:t>
      </w:r>
      <w:r w:rsidR="00C3259B">
        <w:rPr>
          <w:rFonts w:ascii="Times New Roman" w:hAnsi="Times New Roman" w:cs="Times New Roman"/>
        </w:rPr>
        <w:t xml:space="preserve">, </w:t>
      </w:r>
      <w:r w:rsidR="00920C4D">
        <w:rPr>
          <w:rFonts w:ascii="Times New Roman" w:hAnsi="Times New Roman" w:cs="Times New Roman"/>
        </w:rPr>
        <w:t>consisting of an increase in salaries and employee benefits of $363,000, or 10.7%, an increase in data processing expense of $48,000, or 11.1%, and an increase in other professional services (excluding merger</w:t>
      </w:r>
      <w:r w:rsidR="00C73447">
        <w:rPr>
          <w:rFonts w:ascii="Times New Roman" w:hAnsi="Times New Roman" w:cs="Times New Roman"/>
        </w:rPr>
        <w:t>-</w:t>
      </w:r>
      <w:r w:rsidR="00920C4D">
        <w:rPr>
          <w:rFonts w:ascii="Times New Roman" w:hAnsi="Times New Roman" w:cs="Times New Roman"/>
        </w:rPr>
        <w:t xml:space="preserve">related expenses) of $37,000, or 10.4%.  </w:t>
      </w:r>
      <w:r w:rsidR="005D4E34">
        <w:rPr>
          <w:rFonts w:ascii="Times New Roman" w:hAnsi="Times New Roman" w:cs="Times New Roman"/>
        </w:rPr>
        <w:t>The decrease in net income is also attributable to a</w:t>
      </w:r>
      <w:r w:rsidR="00920C4D" w:rsidRPr="00A11CAE">
        <w:rPr>
          <w:rFonts w:ascii="Times New Roman" w:hAnsi="Times New Roman" w:cs="Times New Roman"/>
        </w:rPr>
        <w:t xml:space="preserve"> decrease in non-interest income of $</w:t>
      </w:r>
      <w:r w:rsidR="00920C4D">
        <w:rPr>
          <w:rFonts w:ascii="Times New Roman" w:hAnsi="Times New Roman" w:cs="Times New Roman"/>
        </w:rPr>
        <w:t>265</w:t>
      </w:r>
      <w:r w:rsidR="00920C4D" w:rsidRPr="00A11CAE">
        <w:rPr>
          <w:rFonts w:ascii="Times New Roman" w:hAnsi="Times New Roman" w:cs="Times New Roman"/>
        </w:rPr>
        <w:t xml:space="preserve">,000, or </w:t>
      </w:r>
      <w:r w:rsidR="00920C4D">
        <w:rPr>
          <w:rFonts w:ascii="Times New Roman" w:hAnsi="Times New Roman" w:cs="Times New Roman"/>
        </w:rPr>
        <w:t>35.1</w:t>
      </w:r>
      <w:r w:rsidR="00920C4D" w:rsidRPr="00A11CAE">
        <w:rPr>
          <w:rFonts w:ascii="Times New Roman" w:hAnsi="Times New Roman" w:cs="Times New Roman"/>
        </w:rPr>
        <w:t>%</w:t>
      </w:r>
      <w:r w:rsidR="00920C4D">
        <w:rPr>
          <w:rFonts w:ascii="Times New Roman" w:hAnsi="Times New Roman" w:cs="Times New Roman"/>
        </w:rPr>
        <w:t>, primarily due to a decrease of $310,000 in gains on investment securities</w:t>
      </w:r>
      <w:r w:rsidR="0052560A">
        <w:rPr>
          <w:rFonts w:ascii="Times New Roman" w:hAnsi="Times New Roman" w:cs="Times New Roman"/>
        </w:rPr>
        <w:t xml:space="preserve"> partly offset by an increase in gains on the sale of loans of $32,000.</w:t>
      </w:r>
      <w:r w:rsidR="00920C4D">
        <w:rPr>
          <w:rFonts w:ascii="Times New Roman" w:hAnsi="Times New Roman" w:cs="Times New Roman"/>
        </w:rPr>
        <w:t xml:space="preserve"> </w:t>
      </w:r>
      <w:r w:rsidR="0052560A">
        <w:rPr>
          <w:rFonts w:ascii="Times New Roman" w:hAnsi="Times New Roman" w:cs="Times New Roman"/>
        </w:rPr>
        <w:t>In addition, there was</w:t>
      </w:r>
      <w:r w:rsidR="005D4E34">
        <w:rPr>
          <w:rFonts w:ascii="Times New Roman" w:hAnsi="Times New Roman" w:cs="Times New Roman"/>
        </w:rPr>
        <w:t xml:space="preserve"> a</w:t>
      </w:r>
      <w:r w:rsidR="00920C4D">
        <w:rPr>
          <w:rFonts w:ascii="Times New Roman" w:hAnsi="Times New Roman" w:cs="Times New Roman"/>
        </w:rPr>
        <w:t xml:space="preserve"> decrease in net interest and dividend income of $127,000, or 1.7%, </w:t>
      </w:r>
      <w:r w:rsidR="004F757D">
        <w:rPr>
          <w:rFonts w:ascii="Times New Roman" w:hAnsi="Times New Roman" w:cs="Times New Roman"/>
        </w:rPr>
        <w:t>an increase in the provision for</w:t>
      </w:r>
      <w:r w:rsidR="003D045C">
        <w:rPr>
          <w:rFonts w:ascii="Times New Roman" w:hAnsi="Times New Roman" w:cs="Times New Roman"/>
        </w:rPr>
        <w:t xml:space="preserve"> loan</w:t>
      </w:r>
      <w:r w:rsidR="004F757D">
        <w:rPr>
          <w:rFonts w:ascii="Times New Roman" w:hAnsi="Times New Roman" w:cs="Times New Roman"/>
        </w:rPr>
        <w:t xml:space="preserve"> losses of $</w:t>
      </w:r>
      <w:r w:rsidR="00C0728C">
        <w:rPr>
          <w:rFonts w:ascii="Times New Roman" w:hAnsi="Times New Roman" w:cs="Times New Roman"/>
        </w:rPr>
        <w:t>8</w:t>
      </w:r>
      <w:r w:rsidR="00A67F31">
        <w:rPr>
          <w:rFonts w:ascii="Times New Roman" w:hAnsi="Times New Roman" w:cs="Times New Roman"/>
        </w:rPr>
        <w:t>1</w:t>
      </w:r>
      <w:r w:rsidR="004F757D">
        <w:rPr>
          <w:rFonts w:ascii="Times New Roman" w:hAnsi="Times New Roman" w:cs="Times New Roman"/>
        </w:rPr>
        <w:t xml:space="preserve">,000, or </w:t>
      </w:r>
      <w:r w:rsidR="00C0728C">
        <w:rPr>
          <w:rFonts w:ascii="Times New Roman" w:hAnsi="Times New Roman" w:cs="Times New Roman"/>
        </w:rPr>
        <w:t>4</w:t>
      </w:r>
      <w:r w:rsidR="00A67F31">
        <w:rPr>
          <w:rFonts w:ascii="Times New Roman" w:hAnsi="Times New Roman" w:cs="Times New Roman"/>
        </w:rPr>
        <w:t>2.9</w:t>
      </w:r>
      <w:r w:rsidR="004F757D">
        <w:rPr>
          <w:rFonts w:ascii="Times New Roman" w:hAnsi="Times New Roman" w:cs="Times New Roman"/>
        </w:rPr>
        <w:t xml:space="preserve">%, </w:t>
      </w:r>
      <w:bookmarkStart w:id="0" w:name="_Hlk15021228"/>
      <w:r w:rsidR="0052560A">
        <w:rPr>
          <w:rFonts w:ascii="Times New Roman" w:hAnsi="Times New Roman" w:cs="Times New Roman"/>
        </w:rPr>
        <w:t>and</w:t>
      </w:r>
      <w:r w:rsidR="00300555" w:rsidRPr="00A11CAE">
        <w:rPr>
          <w:rFonts w:ascii="Times New Roman" w:hAnsi="Times New Roman" w:cs="Times New Roman"/>
        </w:rPr>
        <w:t xml:space="preserve"> a </w:t>
      </w:r>
      <w:r w:rsidR="0084596D">
        <w:rPr>
          <w:rFonts w:ascii="Times New Roman" w:hAnsi="Times New Roman" w:cs="Times New Roman"/>
        </w:rPr>
        <w:t>decrease</w:t>
      </w:r>
      <w:r w:rsidR="00300555" w:rsidRPr="00A11CAE">
        <w:rPr>
          <w:rFonts w:ascii="Times New Roman" w:hAnsi="Times New Roman" w:cs="Times New Roman"/>
        </w:rPr>
        <w:t xml:space="preserve"> of $</w:t>
      </w:r>
      <w:r w:rsidR="00D605DA">
        <w:rPr>
          <w:rFonts w:ascii="Times New Roman" w:hAnsi="Times New Roman" w:cs="Times New Roman"/>
        </w:rPr>
        <w:t>28</w:t>
      </w:r>
      <w:r w:rsidR="002F3C82">
        <w:rPr>
          <w:rFonts w:ascii="Times New Roman" w:hAnsi="Times New Roman" w:cs="Times New Roman"/>
        </w:rPr>
        <w:t>8</w:t>
      </w:r>
      <w:r w:rsidR="00300555" w:rsidRPr="00A11CAE">
        <w:rPr>
          <w:rFonts w:ascii="Times New Roman" w:hAnsi="Times New Roman" w:cs="Times New Roman"/>
        </w:rPr>
        <w:t xml:space="preserve">,000, or </w:t>
      </w:r>
      <w:r w:rsidR="00D605DA">
        <w:rPr>
          <w:rFonts w:ascii="Times New Roman" w:hAnsi="Times New Roman" w:cs="Times New Roman"/>
        </w:rPr>
        <w:t>47</w:t>
      </w:r>
      <w:r w:rsidR="002F3C82">
        <w:rPr>
          <w:rFonts w:ascii="Times New Roman" w:hAnsi="Times New Roman" w:cs="Times New Roman"/>
        </w:rPr>
        <w:t>.6</w:t>
      </w:r>
      <w:r w:rsidR="00300555" w:rsidRPr="00A11CAE">
        <w:rPr>
          <w:rFonts w:ascii="Times New Roman" w:hAnsi="Times New Roman" w:cs="Times New Roman"/>
        </w:rPr>
        <w:t xml:space="preserve">%, in </w:t>
      </w:r>
      <w:bookmarkEnd w:id="0"/>
      <w:r w:rsidR="00300555" w:rsidRPr="00A11CAE">
        <w:rPr>
          <w:rFonts w:ascii="Times New Roman" w:hAnsi="Times New Roman" w:cs="Times New Roman"/>
        </w:rPr>
        <w:t>income tax expense</w:t>
      </w:r>
      <w:r w:rsidR="00C3259B">
        <w:rPr>
          <w:rFonts w:ascii="Times New Roman" w:hAnsi="Times New Roman" w:cs="Times New Roman"/>
        </w:rPr>
        <w:t>.</w:t>
      </w:r>
      <w:r w:rsidR="00300555" w:rsidRPr="00A11CAE">
        <w:rPr>
          <w:rFonts w:ascii="Times New Roman" w:hAnsi="Times New Roman" w:cs="Times New Roman"/>
        </w:rPr>
        <w:t xml:space="preserve">  </w:t>
      </w:r>
    </w:p>
    <w:p w:rsidR="002B5779" w:rsidRDefault="002B5779" w:rsidP="009E38FF">
      <w:pPr>
        <w:jc w:val="both"/>
        <w:rPr>
          <w:rFonts w:ascii="Times New Roman" w:hAnsi="Times New Roman" w:cs="Times New Roman"/>
        </w:rPr>
      </w:pPr>
      <w:r w:rsidRPr="00A11CAE">
        <w:rPr>
          <w:rFonts w:ascii="Times New Roman" w:hAnsi="Times New Roman" w:cs="Times New Roman"/>
        </w:rPr>
        <w:t>Total assets increased $</w:t>
      </w:r>
      <w:r w:rsidR="00A67F31">
        <w:rPr>
          <w:rFonts w:ascii="Times New Roman" w:hAnsi="Times New Roman" w:cs="Times New Roman"/>
        </w:rPr>
        <w:t>17.</w:t>
      </w:r>
      <w:r w:rsidR="00D605DA">
        <w:rPr>
          <w:rFonts w:ascii="Times New Roman" w:hAnsi="Times New Roman" w:cs="Times New Roman"/>
        </w:rPr>
        <w:t>7</w:t>
      </w:r>
      <w:r w:rsidRPr="00A11CAE">
        <w:rPr>
          <w:rFonts w:ascii="Times New Roman" w:hAnsi="Times New Roman" w:cs="Times New Roman"/>
        </w:rPr>
        <w:t xml:space="preserve"> million to $34</w:t>
      </w:r>
      <w:r w:rsidR="00A67F31">
        <w:rPr>
          <w:rFonts w:ascii="Times New Roman" w:hAnsi="Times New Roman" w:cs="Times New Roman"/>
        </w:rPr>
        <w:t>1.</w:t>
      </w:r>
      <w:r w:rsidR="00D605DA">
        <w:rPr>
          <w:rFonts w:ascii="Times New Roman" w:hAnsi="Times New Roman" w:cs="Times New Roman"/>
        </w:rPr>
        <w:t>7</w:t>
      </w:r>
      <w:r w:rsidRPr="00A11CAE">
        <w:rPr>
          <w:rFonts w:ascii="Times New Roman" w:hAnsi="Times New Roman" w:cs="Times New Roman"/>
        </w:rPr>
        <w:t xml:space="preserve"> million at </w:t>
      </w:r>
      <w:r w:rsidR="00C0728C">
        <w:rPr>
          <w:rFonts w:ascii="Times New Roman" w:hAnsi="Times New Roman" w:cs="Times New Roman"/>
        </w:rPr>
        <w:t>December 31</w:t>
      </w:r>
      <w:r w:rsidR="00C0728C" w:rsidRPr="00A11CAE">
        <w:rPr>
          <w:rFonts w:ascii="Times New Roman" w:hAnsi="Times New Roman" w:cs="Times New Roman"/>
        </w:rPr>
        <w:t>, 2019</w:t>
      </w:r>
      <w:r w:rsidRPr="00A11CAE">
        <w:rPr>
          <w:rFonts w:ascii="Times New Roman" w:hAnsi="Times New Roman" w:cs="Times New Roman"/>
        </w:rPr>
        <w:t>, compared to $32</w:t>
      </w:r>
      <w:r w:rsidR="00FE39A5">
        <w:rPr>
          <w:rFonts w:ascii="Times New Roman" w:hAnsi="Times New Roman" w:cs="Times New Roman"/>
        </w:rPr>
        <w:t>4.0</w:t>
      </w:r>
      <w:r w:rsidRPr="00A11CAE">
        <w:rPr>
          <w:rFonts w:ascii="Times New Roman" w:hAnsi="Times New Roman" w:cs="Times New Roman"/>
        </w:rPr>
        <w:t xml:space="preserve"> million at December 31, 2018, resulting from increases in </w:t>
      </w:r>
      <w:r w:rsidR="002D3642">
        <w:rPr>
          <w:rFonts w:ascii="Times New Roman" w:hAnsi="Times New Roman" w:cs="Times New Roman"/>
        </w:rPr>
        <w:t>net loans and cash and cash equivalents, partly offset by a decrease in investment</w:t>
      </w:r>
      <w:r w:rsidR="00A67F31">
        <w:rPr>
          <w:rFonts w:ascii="Times New Roman" w:hAnsi="Times New Roman" w:cs="Times New Roman"/>
        </w:rPr>
        <w:t xml:space="preserve"> securities</w:t>
      </w:r>
      <w:r w:rsidR="002D3642">
        <w:rPr>
          <w:rFonts w:ascii="Times New Roman" w:hAnsi="Times New Roman" w:cs="Times New Roman"/>
        </w:rPr>
        <w:t>.</w:t>
      </w:r>
    </w:p>
    <w:p w:rsidR="00522255" w:rsidRPr="0040484F" w:rsidRDefault="00522255" w:rsidP="009E38FF">
      <w:pPr>
        <w:jc w:val="both"/>
        <w:rPr>
          <w:rFonts w:ascii="Times New Roman" w:hAnsi="Times New Roman" w:cs="Times New Roman"/>
        </w:rPr>
      </w:pPr>
      <w:r w:rsidRPr="0040484F">
        <w:rPr>
          <w:rFonts w:ascii="Times New Roman" w:hAnsi="Times New Roman" w:cs="Times New Roman"/>
        </w:rPr>
        <w:t xml:space="preserve">Loans, net of the allowance for loan losses at </w:t>
      </w:r>
      <w:r w:rsidR="002D3642">
        <w:rPr>
          <w:rFonts w:ascii="Times New Roman" w:hAnsi="Times New Roman" w:cs="Times New Roman"/>
        </w:rPr>
        <w:t>December 31</w:t>
      </w:r>
      <w:r w:rsidR="002D3642" w:rsidRPr="00A11CAE">
        <w:rPr>
          <w:rFonts w:ascii="Times New Roman" w:hAnsi="Times New Roman" w:cs="Times New Roman"/>
        </w:rPr>
        <w:t>, 2019</w:t>
      </w:r>
      <w:r w:rsidR="00553ABC" w:rsidRPr="0040484F">
        <w:rPr>
          <w:rFonts w:ascii="Times New Roman" w:hAnsi="Times New Roman" w:cs="Times New Roman"/>
        </w:rPr>
        <w:t>,</w:t>
      </w:r>
      <w:r w:rsidRPr="0040484F">
        <w:rPr>
          <w:rFonts w:ascii="Times New Roman" w:hAnsi="Times New Roman" w:cs="Times New Roman"/>
        </w:rPr>
        <w:t xml:space="preserve"> were $</w:t>
      </w:r>
      <w:r w:rsidR="002D3642">
        <w:rPr>
          <w:rFonts w:ascii="Times New Roman" w:hAnsi="Times New Roman" w:cs="Times New Roman"/>
        </w:rPr>
        <w:t>286.2</w:t>
      </w:r>
      <w:r w:rsidRPr="0040484F">
        <w:rPr>
          <w:rFonts w:ascii="Times New Roman" w:hAnsi="Times New Roman" w:cs="Times New Roman"/>
        </w:rPr>
        <w:t xml:space="preserve"> million compared to $268.2 million</w:t>
      </w:r>
      <w:r w:rsidR="00553ABC" w:rsidRPr="0040484F">
        <w:rPr>
          <w:rFonts w:ascii="Times New Roman" w:hAnsi="Times New Roman" w:cs="Times New Roman"/>
        </w:rPr>
        <w:t xml:space="preserve"> at December 31, 201</w:t>
      </w:r>
      <w:r w:rsidR="00E61C3D" w:rsidRPr="0040484F">
        <w:rPr>
          <w:rFonts w:ascii="Times New Roman" w:hAnsi="Times New Roman" w:cs="Times New Roman"/>
        </w:rPr>
        <w:t>8</w:t>
      </w:r>
      <w:r w:rsidR="00553ABC" w:rsidRPr="0040484F">
        <w:rPr>
          <w:rFonts w:ascii="Times New Roman" w:hAnsi="Times New Roman" w:cs="Times New Roman"/>
        </w:rPr>
        <w:t>, an increase of $</w:t>
      </w:r>
      <w:r w:rsidR="002D3642">
        <w:rPr>
          <w:rFonts w:ascii="Times New Roman" w:hAnsi="Times New Roman" w:cs="Times New Roman"/>
        </w:rPr>
        <w:t>18.0</w:t>
      </w:r>
      <w:r w:rsidR="00553ABC" w:rsidRPr="0040484F">
        <w:rPr>
          <w:rFonts w:ascii="Times New Roman" w:hAnsi="Times New Roman" w:cs="Times New Roman"/>
        </w:rPr>
        <w:t xml:space="preserve"> million or </w:t>
      </w:r>
      <w:r w:rsidR="002D3642">
        <w:rPr>
          <w:rFonts w:ascii="Times New Roman" w:hAnsi="Times New Roman" w:cs="Times New Roman"/>
        </w:rPr>
        <w:t>6.7</w:t>
      </w:r>
      <w:r w:rsidR="00553ABC" w:rsidRPr="0040484F">
        <w:rPr>
          <w:rFonts w:ascii="Times New Roman" w:hAnsi="Times New Roman" w:cs="Times New Roman"/>
        </w:rPr>
        <w:t xml:space="preserve">%.  Total deposits at </w:t>
      </w:r>
      <w:r w:rsidR="002D3642">
        <w:rPr>
          <w:rFonts w:ascii="Times New Roman" w:hAnsi="Times New Roman" w:cs="Times New Roman"/>
        </w:rPr>
        <w:t>December 31</w:t>
      </w:r>
      <w:r w:rsidR="002D3642" w:rsidRPr="00A11CAE">
        <w:rPr>
          <w:rFonts w:ascii="Times New Roman" w:hAnsi="Times New Roman" w:cs="Times New Roman"/>
        </w:rPr>
        <w:t>, 2019</w:t>
      </w:r>
      <w:r w:rsidR="00553ABC" w:rsidRPr="0040484F">
        <w:rPr>
          <w:rFonts w:ascii="Times New Roman" w:hAnsi="Times New Roman" w:cs="Times New Roman"/>
        </w:rPr>
        <w:t>, were $</w:t>
      </w:r>
      <w:r w:rsidR="002D3642">
        <w:rPr>
          <w:rFonts w:ascii="Times New Roman" w:hAnsi="Times New Roman" w:cs="Times New Roman"/>
        </w:rPr>
        <w:t>2</w:t>
      </w:r>
      <w:r w:rsidR="003D045C">
        <w:rPr>
          <w:rFonts w:ascii="Times New Roman" w:hAnsi="Times New Roman" w:cs="Times New Roman"/>
        </w:rPr>
        <w:t>70.0</w:t>
      </w:r>
      <w:r w:rsidR="00553ABC" w:rsidRPr="0040484F">
        <w:rPr>
          <w:rFonts w:ascii="Times New Roman" w:hAnsi="Times New Roman" w:cs="Times New Roman"/>
        </w:rPr>
        <w:t xml:space="preserve"> million compared to $244.0 million at December 31, 201</w:t>
      </w:r>
      <w:r w:rsidR="00154903">
        <w:rPr>
          <w:rFonts w:ascii="Times New Roman" w:hAnsi="Times New Roman" w:cs="Times New Roman"/>
        </w:rPr>
        <w:t>8</w:t>
      </w:r>
      <w:r w:rsidR="00553ABC" w:rsidRPr="0040484F">
        <w:rPr>
          <w:rFonts w:ascii="Times New Roman" w:hAnsi="Times New Roman" w:cs="Times New Roman"/>
        </w:rPr>
        <w:t>, an increase of $</w:t>
      </w:r>
      <w:r w:rsidR="002D3642">
        <w:rPr>
          <w:rFonts w:ascii="Times New Roman" w:hAnsi="Times New Roman" w:cs="Times New Roman"/>
        </w:rPr>
        <w:t>2</w:t>
      </w:r>
      <w:r w:rsidR="003D045C">
        <w:rPr>
          <w:rFonts w:ascii="Times New Roman" w:hAnsi="Times New Roman" w:cs="Times New Roman"/>
        </w:rPr>
        <w:t>6.0</w:t>
      </w:r>
      <w:r w:rsidR="00553ABC" w:rsidRPr="0040484F">
        <w:rPr>
          <w:rFonts w:ascii="Times New Roman" w:hAnsi="Times New Roman" w:cs="Times New Roman"/>
        </w:rPr>
        <w:t xml:space="preserve"> million or </w:t>
      </w:r>
      <w:r w:rsidR="00FE5F5B">
        <w:rPr>
          <w:rFonts w:ascii="Times New Roman" w:hAnsi="Times New Roman" w:cs="Times New Roman"/>
        </w:rPr>
        <w:t>10.</w:t>
      </w:r>
      <w:r w:rsidR="002D3642">
        <w:rPr>
          <w:rFonts w:ascii="Times New Roman" w:hAnsi="Times New Roman" w:cs="Times New Roman"/>
        </w:rPr>
        <w:t>6</w:t>
      </w:r>
      <w:r w:rsidR="00553ABC" w:rsidRPr="0040484F">
        <w:rPr>
          <w:rFonts w:ascii="Times New Roman" w:hAnsi="Times New Roman" w:cs="Times New Roman"/>
        </w:rPr>
        <w:t>%.</w:t>
      </w:r>
    </w:p>
    <w:p w:rsidR="00553ABC" w:rsidRPr="0040484F" w:rsidRDefault="00553ABC" w:rsidP="009E38FF">
      <w:pPr>
        <w:jc w:val="both"/>
        <w:rPr>
          <w:rFonts w:ascii="Times New Roman" w:hAnsi="Times New Roman" w:cs="Times New Roman"/>
        </w:rPr>
      </w:pPr>
      <w:r w:rsidRPr="0040484F">
        <w:rPr>
          <w:rFonts w:ascii="Times New Roman" w:hAnsi="Times New Roman" w:cs="Times New Roman"/>
        </w:rPr>
        <w:t xml:space="preserve">At </w:t>
      </w:r>
      <w:r w:rsidR="002D3642">
        <w:rPr>
          <w:rFonts w:ascii="Times New Roman" w:hAnsi="Times New Roman" w:cs="Times New Roman"/>
        </w:rPr>
        <w:t>December 31</w:t>
      </w:r>
      <w:r w:rsidR="002D3642" w:rsidRPr="00A11CAE">
        <w:rPr>
          <w:rFonts w:ascii="Times New Roman" w:hAnsi="Times New Roman" w:cs="Times New Roman"/>
        </w:rPr>
        <w:t>, 2019</w:t>
      </w:r>
      <w:r w:rsidRPr="0040484F">
        <w:rPr>
          <w:rFonts w:ascii="Times New Roman" w:hAnsi="Times New Roman" w:cs="Times New Roman"/>
        </w:rPr>
        <w:t xml:space="preserve">, the Company’s </w:t>
      </w:r>
      <w:r w:rsidR="008414A0" w:rsidRPr="0040484F">
        <w:rPr>
          <w:rFonts w:ascii="Times New Roman" w:hAnsi="Times New Roman" w:cs="Times New Roman"/>
        </w:rPr>
        <w:t>stock</w:t>
      </w:r>
      <w:r w:rsidRPr="0040484F">
        <w:rPr>
          <w:rFonts w:ascii="Times New Roman" w:hAnsi="Times New Roman" w:cs="Times New Roman"/>
        </w:rPr>
        <w:t>holders</w:t>
      </w:r>
      <w:r w:rsidR="009C60DA" w:rsidRPr="0040484F">
        <w:rPr>
          <w:rFonts w:ascii="Times New Roman" w:hAnsi="Times New Roman" w:cs="Times New Roman"/>
        </w:rPr>
        <w:t xml:space="preserve">’ </w:t>
      </w:r>
      <w:r w:rsidRPr="0040484F">
        <w:rPr>
          <w:rFonts w:ascii="Times New Roman" w:hAnsi="Times New Roman" w:cs="Times New Roman"/>
        </w:rPr>
        <w:t>equity was $</w:t>
      </w:r>
      <w:r w:rsidR="002D3642">
        <w:rPr>
          <w:rFonts w:ascii="Times New Roman" w:hAnsi="Times New Roman" w:cs="Times New Roman"/>
        </w:rPr>
        <w:t>4</w:t>
      </w:r>
      <w:r w:rsidR="00A67F31">
        <w:rPr>
          <w:rFonts w:ascii="Times New Roman" w:hAnsi="Times New Roman" w:cs="Times New Roman"/>
        </w:rPr>
        <w:t>0.</w:t>
      </w:r>
      <w:r w:rsidR="00D605DA">
        <w:rPr>
          <w:rFonts w:ascii="Times New Roman" w:hAnsi="Times New Roman" w:cs="Times New Roman"/>
        </w:rPr>
        <w:t>6</w:t>
      </w:r>
      <w:r w:rsidRPr="0040484F">
        <w:rPr>
          <w:rFonts w:ascii="Times New Roman" w:hAnsi="Times New Roman" w:cs="Times New Roman"/>
        </w:rPr>
        <w:t xml:space="preserve"> million compared to $4</w:t>
      </w:r>
      <w:r w:rsidR="002D3642">
        <w:rPr>
          <w:rFonts w:ascii="Times New Roman" w:hAnsi="Times New Roman" w:cs="Times New Roman"/>
        </w:rPr>
        <w:t>5.2</w:t>
      </w:r>
      <w:r w:rsidRPr="0040484F">
        <w:rPr>
          <w:rFonts w:ascii="Times New Roman" w:hAnsi="Times New Roman" w:cs="Times New Roman"/>
        </w:rPr>
        <w:t xml:space="preserve"> million at December 31, 201</w:t>
      </w:r>
      <w:r w:rsidR="00E61C3D" w:rsidRPr="0040484F">
        <w:rPr>
          <w:rFonts w:ascii="Times New Roman" w:hAnsi="Times New Roman" w:cs="Times New Roman"/>
        </w:rPr>
        <w:t>8</w:t>
      </w:r>
      <w:r w:rsidRPr="0040484F">
        <w:rPr>
          <w:rFonts w:ascii="Times New Roman" w:hAnsi="Times New Roman" w:cs="Times New Roman"/>
        </w:rPr>
        <w:t>, a decrease of $</w:t>
      </w:r>
      <w:r w:rsidR="002D3642">
        <w:rPr>
          <w:rFonts w:ascii="Times New Roman" w:hAnsi="Times New Roman" w:cs="Times New Roman"/>
        </w:rPr>
        <w:t>4.</w:t>
      </w:r>
      <w:r w:rsidR="00D605DA">
        <w:rPr>
          <w:rFonts w:ascii="Times New Roman" w:hAnsi="Times New Roman" w:cs="Times New Roman"/>
        </w:rPr>
        <w:t>6</w:t>
      </w:r>
      <w:r w:rsidRPr="0040484F">
        <w:rPr>
          <w:rFonts w:ascii="Times New Roman" w:hAnsi="Times New Roman" w:cs="Times New Roman"/>
        </w:rPr>
        <w:t xml:space="preserve"> million or </w:t>
      </w:r>
      <w:r w:rsidR="00D605DA">
        <w:rPr>
          <w:rFonts w:ascii="Times New Roman" w:hAnsi="Times New Roman" w:cs="Times New Roman"/>
        </w:rPr>
        <w:t>10.3</w:t>
      </w:r>
      <w:r w:rsidRPr="0040484F">
        <w:rPr>
          <w:rFonts w:ascii="Times New Roman" w:hAnsi="Times New Roman" w:cs="Times New Roman"/>
        </w:rPr>
        <w:t>%</w:t>
      </w:r>
      <w:r w:rsidR="002D3642">
        <w:rPr>
          <w:rFonts w:ascii="Times New Roman" w:hAnsi="Times New Roman" w:cs="Times New Roman"/>
        </w:rPr>
        <w:t>. The decrease in stockholders</w:t>
      </w:r>
      <w:r w:rsidR="003D045C">
        <w:rPr>
          <w:rFonts w:ascii="Times New Roman" w:hAnsi="Times New Roman" w:cs="Times New Roman"/>
        </w:rPr>
        <w:t>’</w:t>
      </w:r>
      <w:r w:rsidR="002D3642">
        <w:rPr>
          <w:rFonts w:ascii="Times New Roman" w:hAnsi="Times New Roman" w:cs="Times New Roman"/>
        </w:rPr>
        <w:t xml:space="preserve"> equity included the repurchase of 270,453 shares of common stock for a total of $5.2 million, </w:t>
      </w:r>
      <w:r w:rsidR="00A67F31">
        <w:rPr>
          <w:rFonts w:ascii="Times New Roman" w:hAnsi="Times New Roman" w:cs="Times New Roman"/>
        </w:rPr>
        <w:t xml:space="preserve">a </w:t>
      </w:r>
      <w:r w:rsidR="002D3642">
        <w:rPr>
          <w:rFonts w:ascii="Times New Roman" w:hAnsi="Times New Roman" w:cs="Times New Roman"/>
        </w:rPr>
        <w:t>dividend payment of $0.34 per common share outstanding for a total of $811,000, partly offset by net income of $</w:t>
      </w:r>
      <w:r w:rsidR="00D605DA">
        <w:rPr>
          <w:rFonts w:ascii="Times New Roman" w:hAnsi="Times New Roman" w:cs="Times New Roman"/>
        </w:rPr>
        <w:t>502</w:t>
      </w:r>
      <w:r w:rsidR="00A67F31">
        <w:rPr>
          <w:rFonts w:ascii="Times New Roman" w:hAnsi="Times New Roman" w:cs="Times New Roman"/>
        </w:rPr>
        <w:t>,000</w:t>
      </w:r>
      <w:r w:rsidR="002D3642">
        <w:rPr>
          <w:rFonts w:ascii="Times New Roman" w:hAnsi="Times New Roman" w:cs="Times New Roman"/>
        </w:rPr>
        <w:t xml:space="preserve"> and other comprehensive income of $44</w:t>
      </w:r>
      <w:r w:rsidR="00D605DA">
        <w:rPr>
          <w:rFonts w:ascii="Times New Roman" w:hAnsi="Times New Roman" w:cs="Times New Roman"/>
        </w:rPr>
        <w:t>8</w:t>
      </w:r>
      <w:r w:rsidR="002D3642">
        <w:rPr>
          <w:rFonts w:ascii="Times New Roman" w:hAnsi="Times New Roman" w:cs="Times New Roman"/>
        </w:rPr>
        <w:t>,000</w:t>
      </w:r>
      <w:r w:rsidRPr="0040484F">
        <w:rPr>
          <w:rFonts w:ascii="Times New Roman" w:hAnsi="Times New Roman" w:cs="Times New Roman"/>
        </w:rPr>
        <w:t xml:space="preserve">.  All of the </w:t>
      </w:r>
      <w:r w:rsidR="003D045C">
        <w:rPr>
          <w:rFonts w:ascii="Times New Roman" w:hAnsi="Times New Roman" w:cs="Times New Roman"/>
        </w:rPr>
        <w:t>Bank</w:t>
      </w:r>
      <w:r w:rsidRPr="0040484F">
        <w:rPr>
          <w:rFonts w:ascii="Times New Roman" w:hAnsi="Times New Roman" w:cs="Times New Roman"/>
        </w:rPr>
        <w:t xml:space="preserve">’s capital ratios are well in excess of the amount required for </w:t>
      </w:r>
      <w:r w:rsidR="00C73447">
        <w:rPr>
          <w:rFonts w:ascii="Times New Roman" w:hAnsi="Times New Roman" w:cs="Times New Roman"/>
        </w:rPr>
        <w:t>the B</w:t>
      </w:r>
      <w:r w:rsidRPr="0040484F">
        <w:rPr>
          <w:rFonts w:ascii="Times New Roman" w:hAnsi="Times New Roman" w:cs="Times New Roman"/>
        </w:rPr>
        <w:t xml:space="preserve">ank to be considered “well capitalized”.  </w:t>
      </w:r>
    </w:p>
    <w:p w:rsidR="001705CD" w:rsidRPr="002F3C82" w:rsidRDefault="001705CD" w:rsidP="001705CD">
      <w:pPr>
        <w:tabs>
          <w:tab w:val="left" w:pos="720"/>
        </w:tabs>
        <w:jc w:val="both"/>
        <w:rPr>
          <w:rFonts w:ascii="Times New Roman" w:hAnsi="Times New Roman" w:cs="Times New Roman"/>
          <w:sz w:val="24"/>
        </w:rPr>
      </w:pPr>
      <w:r w:rsidRPr="00C73447">
        <w:rPr>
          <w:rFonts w:ascii="Times New Roman" w:hAnsi="Times New Roman" w:cs="Times New Roman"/>
          <w:szCs w:val="20"/>
        </w:rPr>
        <w:t>As of December 31, 2</w:t>
      </w:r>
      <w:r w:rsidR="002F3C82" w:rsidRPr="00C73447">
        <w:rPr>
          <w:rFonts w:ascii="Times New Roman" w:hAnsi="Times New Roman" w:cs="Times New Roman"/>
          <w:szCs w:val="20"/>
        </w:rPr>
        <w:t>01</w:t>
      </w:r>
      <w:r w:rsidRPr="00C73447">
        <w:rPr>
          <w:rFonts w:ascii="Times New Roman" w:hAnsi="Times New Roman" w:cs="Times New Roman"/>
          <w:szCs w:val="20"/>
        </w:rPr>
        <w:t xml:space="preserve">9, 2,305,851 </w:t>
      </w:r>
      <w:r w:rsidRPr="002F3C82">
        <w:rPr>
          <w:rFonts w:ascii="Times New Roman" w:hAnsi="Times New Roman" w:cs="Times New Roman"/>
          <w:szCs w:val="20"/>
        </w:rPr>
        <w:t>shares of the common stock, par value $0.01 per share, were issued and outstanding</w:t>
      </w:r>
    </w:p>
    <w:p w:rsidR="00163531" w:rsidRDefault="009E38FF" w:rsidP="009E38FF">
      <w:pPr>
        <w:tabs>
          <w:tab w:val="left" w:pos="720"/>
        </w:tabs>
        <w:jc w:val="both"/>
        <w:rPr>
          <w:rFonts w:ascii="Times New Roman" w:hAnsi="Times New Roman" w:cs="Times New Roman"/>
        </w:rPr>
      </w:pPr>
      <w:r w:rsidRPr="0040484F">
        <w:rPr>
          <w:rFonts w:ascii="Times New Roman" w:hAnsi="Times New Roman" w:cs="Times New Roman"/>
        </w:rPr>
        <w:t xml:space="preserve">Melrose Bancorp shares </w:t>
      </w:r>
      <w:r w:rsidR="00C73447">
        <w:rPr>
          <w:rFonts w:ascii="Times New Roman" w:hAnsi="Times New Roman" w:cs="Times New Roman"/>
        </w:rPr>
        <w:t xml:space="preserve">are quoted on the OTC Pink Marketplace </w:t>
      </w:r>
      <w:r w:rsidRPr="0040484F">
        <w:rPr>
          <w:rFonts w:ascii="Times New Roman" w:hAnsi="Times New Roman" w:cs="Times New Roman"/>
        </w:rPr>
        <w:t>under the trading symbol MELR.</w:t>
      </w:r>
      <w:r w:rsidR="00C73447">
        <w:rPr>
          <w:rFonts w:ascii="Times New Roman" w:hAnsi="Times New Roman" w:cs="Times New Roman"/>
        </w:rPr>
        <w:t xml:space="preserve">  </w:t>
      </w:r>
      <w:bookmarkStart w:id="1" w:name="_GoBack"/>
      <w:bookmarkEnd w:id="1"/>
      <w:r w:rsidRPr="0040484F">
        <w:rPr>
          <w:rFonts w:ascii="Times New Roman" w:hAnsi="Times New Roman" w:cs="Times New Roman"/>
        </w:rPr>
        <w:t>For more information, please refer to the “Investor Relations” section of the Bank’s website at melrosebank.com or contact the Company’s President and CEO, Jeffrey Jones.</w:t>
      </w:r>
      <w:r w:rsidR="002D3642">
        <w:rPr>
          <w:rFonts w:ascii="Times New Roman" w:hAnsi="Times New Roman" w:cs="Times New Roman"/>
        </w:rPr>
        <w:t xml:space="preserve">  </w:t>
      </w:r>
    </w:p>
    <w:p w:rsidR="00831D63" w:rsidRPr="00A11CAE" w:rsidRDefault="00831D63" w:rsidP="009E38FF">
      <w:pPr>
        <w:jc w:val="both"/>
        <w:rPr>
          <w:rFonts w:ascii="Times New Roman" w:hAnsi="Times New Roman" w:cs="Times New Roman"/>
        </w:rPr>
      </w:pPr>
      <w:r w:rsidRPr="00A11CAE">
        <w:rPr>
          <w:rFonts w:ascii="Times New Roman" w:hAnsi="Times New Roman" w:cs="Times New Roman"/>
        </w:rPr>
        <w:t>This release may contain forward-looking statement</w:t>
      </w:r>
      <w:r w:rsidR="00B5517C">
        <w:rPr>
          <w:rFonts w:ascii="Times New Roman" w:hAnsi="Times New Roman" w:cs="Times New Roman"/>
        </w:rPr>
        <w:t>s</w:t>
      </w:r>
      <w:r w:rsidRPr="00A11CAE">
        <w:rPr>
          <w:rFonts w:ascii="Times New Roman" w:hAnsi="Times New Roman" w:cs="Times New Roman"/>
        </w:rPr>
        <w:t xml:space="preserve"> within the meaning of the federal securities laws.  These statements are not historical facts; rather, they are statements based on the Company’s current expectations regarding its business strategies and their intended results and its future performance.  Forward-looking statements are preceded by terms such as “expects”, “believes”, “anticipates”, “intends” and similar expressions.</w:t>
      </w:r>
    </w:p>
    <w:p w:rsidR="00831D63" w:rsidRPr="00A11CAE" w:rsidRDefault="00831D63" w:rsidP="009E38FF">
      <w:pPr>
        <w:jc w:val="both"/>
        <w:rPr>
          <w:rFonts w:ascii="Times New Roman" w:hAnsi="Times New Roman" w:cs="Times New Roman"/>
        </w:rPr>
      </w:pPr>
      <w:r w:rsidRPr="00A11CAE">
        <w:rPr>
          <w:rFonts w:ascii="Times New Roman" w:hAnsi="Times New Roman" w:cs="Times New Roman"/>
        </w:rPr>
        <w:t xml:space="preserve">Forward-looking statements are not </w:t>
      </w:r>
      <w:proofErr w:type="gramStart"/>
      <w:r w:rsidRPr="00A11CAE">
        <w:rPr>
          <w:rFonts w:ascii="Times New Roman" w:hAnsi="Times New Roman" w:cs="Times New Roman"/>
        </w:rPr>
        <w:t>guarantees</w:t>
      </w:r>
      <w:proofErr w:type="gramEnd"/>
      <w:r w:rsidRPr="00A11CAE">
        <w:rPr>
          <w:rFonts w:ascii="Times New Roman" w:hAnsi="Times New Roman" w:cs="Times New Roman"/>
        </w:rPr>
        <w:t xml:space="preserve"> of future performance.  Numerous risks and uncertainties could cause or contribute to the Company’s actual results, performance and achievements to be materially different from those expressed or implied by the forward-looking statements.  Factors that may cause or contribute to these differences include, without limitation, general economic conditions, including changes in market interest rates and changes in monetary and fiscal policies of the federal government, legislative and regulatory changes.</w:t>
      </w:r>
    </w:p>
    <w:p w:rsidR="00831D63" w:rsidRPr="00A11CAE" w:rsidRDefault="00831D63" w:rsidP="009E38FF">
      <w:pPr>
        <w:jc w:val="both"/>
        <w:rPr>
          <w:rFonts w:ascii="Times New Roman" w:hAnsi="Times New Roman" w:cs="Times New Roman"/>
        </w:rPr>
      </w:pPr>
      <w:r w:rsidRPr="00A11CAE">
        <w:rPr>
          <w:rFonts w:ascii="Times New Roman" w:hAnsi="Times New Roman" w:cs="Times New Roman"/>
        </w:rPr>
        <w:t>Because of the risk and uncertainties inherent in forward-looking statements, readers are cautioned not to place undue reliance on them, whether included in this report or made elsewhere from time to time by the Company or on its behalf.  Except as may be required by applicable law or regulation, the Company assumes no obligation to update any forward-looking statements.</w:t>
      </w:r>
    </w:p>
    <w:p w:rsidR="00A11CAE" w:rsidRDefault="00A11CAE"/>
    <w:p w:rsidR="009E38FF" w:rsidRDefault="009E38FF"/>
    <w:p w:rsidR="009E38FF" w:rsidRDefault="009E38FF"/>
    <w:p w:rsidR="00A11CAE" w:rsidRDefault="00A11CAE" w:rsidP="00A11CAE">
      <w:pPr>
        <w:spacing w:after="0"/>
        <w:jc w:val="center"/>
        <w:rPr>
          <w:rFonts w:ascii="Times New Roman" w:hAnsi="Times New Roman" w:cs="Times New Roman"/>
          <w:b/>
          <w:sz w:val="24"/>
        </w:rPr>
      </w:pPr>
    </w:p>
    <w:p w:rsidR="00AF6246" w:rsidRDefault="00AF6246" w:rsidP="00A11CAE">
      <w:pPr>
        <w:spacing w:after="0"/>
        <w:jc w:val="center"/>
        <w:rPr>
          <w:rFonts w:ascii="Times New Roman" w:hAnsi="Times New Roman" w:cs="Times New Roman"/>
          <w:b/>
          <w:sz w:val="24"/>
        </w:rPr>
      </w:pPr>
    </w:p>
    <w:p w:rsidR="00AF6246" w:rsidRDefault="00AF6246" w:rsidP="00A11CAE">
      <w:pPr>
        <w:spacing w:after="0"/>
        <w:jc w:val="center"/>
        <w:rPr>
          <w:rFonts w:ascii="Times New Roman" w:hAnsi="Times New Roman" w:cs="Times New Roman"/>
          <w:b/>
          <w:sz w:val="24"/>
        </w:rPr>
      </w:pPr>
    </w:p>
    <w:p w:rsidR="00A11CAE" w:rsidRDefault="00A11CAE" w:rsidP="00A11CAE">
      <w:pPr>
        <w:spacing w:after="0"/>
        <w:jc w:val="center"/>
        <w:rPr>
          <w:rFonts w:ascii="Times New Roman" w:hAnsi="Times New Roman" w:cs="Times New Roman"/>
          <w:b/>
          <w:sz w:val="24"/>
        </w:rPr>
      </w:pPr>
    </w:p>
    <w:p w:rsidR="00A11CAE" w:rsidRPr="00D05304" w:rsidRDefault="00A11CAE" w:rsidP="00A11CAE">
      <w:pPr>
        <w:spacing w:after="0"/>
        <w:jc w:val="center"/>
        <w:rPr>
          <w:rFonts w:ascii="Times New Roman" w:hAnsi="Times New Roman" w:cs="Times New Roman"/>
          <w:b/>
          <w:sz w:val="24"/>
        </w:rPr>
      </w:pPr>
      <w:r w:rsidRPr="00D05304">
        <w:rPr>
          <w:rFonts w:ascii="Times New Roman" w:hAnsi="Times New Roman" w:cs="Times New Roman"/>
          <w:b/>
          <w:sz w:val="24"/>
        </w:rPr>
        <w:t>Melrose Bancorp, Inc.</w:t>
      </w:r>
    </w:p>
    <w:p w:rsidR="00A11CAE" w:rsidRPr="00D05304" w:rsidRDefault="00A11CAE" w:rsidP="00A11CAE">
      <w:pPr>
        <w:spacing w:after="0"/>
        <w:jc w:val="center"/>
        <w:rPr>
          <w:rFonts w:ascii="Times New Roman" w:hAnsi="Times New Roman" w:cs="Times New Roman"/>
          <w:b/>
          <w:sz w:val="24"/>
        </w:rPr>
      </w:pPr>
      <w:r w:rsidRPr="00D05304">
        <w:rPr>
          <w:rFonts w:ascii="Times New Roman" w:hAnsi="Times New Roman" w:cs="Times New Roman"/>
          <w:b/>
          <w:sz w:val="24"/>
        </w:rPr>
        <w:t>Consolidated Financial Highlights</w:t>
      </w:r>
    </w:p>
    <w:p w:rsidR="00A11CAE" w:rsidRDefault="00A11CAE" w:rsidP="00A11CAE">
      <w:pPr>
        <w:spacing w:after="0"/>
        <w:jc w:val="center"/>
        <w:rPr>
          <w:rFonts w:ascii="Times New Roman" w:hAnsi="Times New Roman" w:cs="Times New Roman"/>
          <w:sz w:val="24"/>
        </w:rPr>
      </w:pPr>
      <w:r w:rsidRPr="00D05304">
        <w:rPr>
          <w:rFonts w:ascii="Times New Roman" w:hAnsi="Times New Roman" w:cs="Times New Roman"/>
          <w:sz w:val="24"/>
        </w:rPr>
        <w:t>(Dollars in Thousands, Except Per Share Data)</w:t>
      </w:r>
    </w:p>
    <w:p w:rsidR="00FE5F5B" w:rsidRDefault="00FE5F5B" w:rsidP="00A11CAE">
      <w:pPr>
        <w:spacing w:after="0"/>
        <w:jc w:val="center"/>
        <w:rPr>
          <w:rFonts w:ascii="Times New Roman" w:hAnsi="Times New Roman" w:cs="Times New Roman"/>
          <w:sz w:val="24"/>
        </w:rPr>
      </w:pPr>
    </w:p>
    <w:p w:rsidR="00A11CAE" w:rsidRDefault="003D045C" w:rsidP="00A11CAE">
      <w:pPr>
        <w:jc w:val="center"/>
      </w:pPr>
      <w:r w:rsidRPr="003D045C">
        <w:rPr>
          <w:noProof/>
        </w:rPr>
        <w:drawing>
          <wp:inline distT="0" distB="0" distL="0" distR="0">
            <wp:extent cx="5905500" cy="690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6908800"/>
                    </a:xfrm>
                    <a:prstGeom prst="rect">
                      <a:avLst/>
                    </a:prstGeom>
                    <a:noFill/>
                    <a:ln>
                      <a:noFill/>
                    </a:ln>
                  </pic:spPr>
                </pic:pic>
              </a:graphicData>
            </a:graphic>
          </wp:inline>
        </w:drawing>
      </w:r>
      <w:r w:rsidR="00A11CAE">
        <w:br w:type="page"/>
      </w:r>
    </w:p>
    <w:p w:rsidR="00A11CAE" w:rsidRPr="00D05304" w:rsidRDefault="00A11CAE" w:rsidP="00A11CAE">
      <w:pPr>
        <w:spacing w:after="0"/>
        <w:jc w:val="center"/>
        <w:rPr>
          <w:rFonts w:ascii="Times New Roman" w:hAnsi="Times New Roman" w:cs="Times New Roman"/>
          <w:b/>
          <w:sz w:val="24"/>
        </w:rPr>
      </w:pPr>
      <w:r w:rsidRPr="00D05304">
        <w:rPr>
          <w:rFonts w:ascii="Times New Roman" w:hAnsi="Times New Roman" w:cs="Times New Roman"/>
          <w:b/>
          <w:sz w:val="24"/>
        </w:rPr>
        <w:lastRenderedPageBreak/>
        <w:t>Melrose Bancorp, Inc.</w:t>
      </w:r>
    </w:p>
    <w:p w:rsidR="00A11CAE" w:rsidRPr="00D05304" w:rsidRDefault="00A11CAE" w:rsidP="00A11CAE">
      <w:pPr>
        <w:spacing w:after="0"/>
        <w:jc w:val="center"/>
        <w:rPr>
          <w:rFonts w:ascii="Times New Roman" w:hAnsi="Times New Roman" w:cs="Times New Roman"/>
          <w:b/>
          <w:sz w:val="24"/>
        </w:rPr>
      </w:pPr>
      <w:r w:rsidRPr="00D05304">
        <w:rPr>
          <w:rFonts w:ascii="Times New Roman" w:hAnsi="Times New Roman" w:cs="Times New Roman"/>
          <w:b/>
          <w:sz w:val="24"/>
        </w:rPr>
        <w:t>Consolidated Financial Highlights</w:t>
      </w:r>
    </w:p>
    <w:p w:rsidR="00A11CAE" w:rsidRDefault="00A11CAE" w:rsidP="00A11CAE">
      <w:pPr>
        <w:spacing w:after="0"/>
        <w:jc w:val="center"/>
        <w:rPr>
          <w:rFonts w:ascii="Times New Roman" w:hAnsi="Times New Roman" w:cs="Times New Roman"/>
          <w:sz w:val="24"/>
        </w:rPr>
      </w:pPr>
      <w:r w:rsidRPr="00D05304">
        <w:rPr>
          <w:rFonts w:ascii="Times New Roman" w:hAnsi="Times New Roman" w:cs="Times New Roman"/>
          <w:sz w:val="24"/>
        </w:rPr>
        <w:t>(Dollars in Thousands, Except Per Share Data)</w:t>
      </w:r>
    </w:p>
    <w:p w:rsidR="00A11CAE" w:rsidRDefault="003D045C" w:rsidP="00A11CAE">
      <w:pPr>
        <w:spacing w:after="0"/>
        <w:jc w:val="center"/>
        <w:rPr>
          <w:rFonts w:ascii="Times New Roman" w:hAnsi="Times New Roman" w:cs="Times New Roman"/>
          <w:sz w:val="24"/>
        </w:rPr>
      </w:pPr>
      <w:r w:rsidRPr="003D045C">
        <w:rPr>
          <w:noProof/>
        </w:rPr>
        <w:drawing>
          <wp:inline distT="0" distB="0" distL="0" distR="0">
            <wp:extent cx="6858000" cy="73217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7321796"/>
                    </a:xfrm>
                    <a:prstGeom prst="rect">
                      <a:avLst/>
                    </a:prstGeom>
                    <a:noFill/>
                    <a:ln>
                      <a:noFill/>
                    </a:ln>
                  </pic:spPr>
                </pic:pic>
              </a:graphicData>
            </a:graphic>
          </wp:inline>
        </w:drawing>
      </w:r>
    </w:p>
    <w:p w:rsidR="00CA0D03" w:rsidRPr="00D05304" w:rsidRDefault="00CA0D03" w:rsidP="00A11CAE">
      <w:pPr>
        <w:spacing w:after="0"/>
        <w:jc w:val="center"/>
        <w:rPr>
          <w:rFonts w:ascii="Times New Roman" w:hAnsi="Times New Roman" w:cs="Times New Roman"/>
          <w:sz w:val="24"/>
        </w:rPr>
      </w:pPr>
    </w:p>
    <w:p w:rsidR="00A11CAE" w:rsidRDefault="00A11CAE" w:rsidP="00A11CAE">
      <w:pPr>
        <w:jc w:val="center"/>
      </w:pPr>
    </w:p>
    <w:p w:rsidR="00A11CAE" w:rsidRDefault="00A11CAE"/>
    <w:p w:rsidR="00831D63" w:rsidRPr="00831D63" w:rsidRDefault="00831D63">
      <w:r>
        <w:t xml:space="preserve"> </w:t>
      </w:r>
    </w:p>
    <w:p w:rsidR="00300555" w:rsidRPr="003F4229" w:rsidRDefault="00300555">
      <w:r>
        <w:t xml:space="preserve">  </w:t>
      </w:r>
    </w:p>
    <w:sectPr w:rsidR="00300555" w:rsidRPr="003F4229" w:rsidSect="009E38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70A" w:rsidRDefault="0093770A" w:rsidP="003F4229">
      <w:pPr>
        <w:spacing w:after="0" w:line="240" w:lineRule="auto"/>
      </w:pPr>
      <w:r>
        <w:separator/>
      </w:r>
    </w:p>
  </w:endnote>
  <w:endnote w:type="continuationSeparator" w:id="0">
    <w:p w:rsidR="0093770A" w:rsidRDefault="0093770A" w:rsidP="003F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70A" w:rsidRDefault="0093770A" w:rsidP="003F4229">
      <w:pPr>
        <w:spacing w:after="0" w:line="240" w:lineRule="auto"/>
      </w:pPr>
      <w:r>
        <w:separator/>
      </w:r>
    </w:p>
  </w:footnote>
  <w:footnote w:type="continuationSeparator" w:id="0">
    <w:p w:rsidR="0093770A" w:rsidRDefault="0093770A" w:rsidP="003F42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29"/>
    <w:rsid w:val="00017387"/>
    <w:rsid w:val="0003436C"/>
    <w:rsid w:val="00044296"/>
    <w:rsid w:val="000F40A1"/>
    <w:rsid w:val="00154903"/>
    <w:rsid w:val="0015707F"/>
    <w:rsid w:val="00163531"/>
    <w:rsid w:val="001705CD"/>
    <w:rsid w:val="001D1C99"/>
    <w:rsid w:val="002B5779"/>
    <w:rsid w:val="002D3642"/>
    <w:rsid w:val="002F3C82"/>
    <w:rsid w:val="002F6CF7"/>
    <w:rsid w:val="00300555"/>
    <w:rsid w:val="00303265"/>
    <w:rsid w:val="00394FC1"/>
    <w:rsid w:val="003C6383"/>
    <w:rsid w:val="003D045C"/>
    <w:rsid w:val="003F4229"/>
    <w:rsid w:val="0040484F"/>
    <w:rsid w:val="004F0ED1"/>
    <w:rsid w:val="004F757D"/>
    <w:rsid w:val="00522255"/>
    <w:rsid w:val="0052560A"/>
    <w:rsid w:val="00553ABC"/>
    <w:rsid w:val="005D4E34"/>
    <w:rsid w:val="005E4048"/>
    <w:rsid w:val="00771A0C"/>
    <w:rsid w:val="007742AD"/>
    <w:rsid w:val="007F3AE8"/>
    <w:rsid w:val="00831D63"/>
    <w:rsid w:val="008414A0"/>
    <w:rsid w:val="0084596D"/>
    <w:rsid w:val="00873773"/>
    <w:rsid w:val="00920C4D"/>
    <w:rsid w:val="0093770A"/>
    <w:rsid w:val="009C60DA"/>
    <w:rsid w:val="009E38FF"/>
    <w:rsid w:val="00A11CAE"/>
    <w:rsid w:val="00A67F31"/>
    <w:rsid w:val="00AB2F86"/>
    <w:rsid w:val="00AF6246"/>
    <w:rsid w:val="00B5517C"/>
    <w:rsid w:val="00BB751F"/>
    <w:rsid w:val="00C0728C"/>
    <w:rsid w:val="00C3259B"/>
    <w:rsid w:val="00C73447"/>
    <w:rsid w:val="00CA0D03"/>
    <w:rsid w:val="00D605DA"/>
    <w:rsid w:val="00DC782C"/>
    <w:rsid w:val="00E52BA3"/>
    <w:rsid w:val="00E61C3D"/>
    <w:rsid w:val="00E64F7E"/>
    <w:rsid w:val="00FE39A5"/>
    <w:rsid w:val="00FE5F5B"/>
    <w:rsid w:val="00FF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9A30"/>
  <w15:chartTrackingRefBased/>
  <w15:docId w15:val="{E01943AE-99DD-4987-A3AB-6B2AD972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29"/>
  </w:style>
  <w:style w:type="paragraph" w:styleId="Footer">
    <w:name w:val="footer"/>
    <w:basedOn w:val="Normal"/>
    <w:link w:val="FooterChar"/>
    <w:uiPriority w:val="99"/>
    <w:unhideWhenUsed/>
    <w:rsid w:val="003F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29"/>
  </w:style>
  <w:style w:type="paragraph" w:styleId="CommentText">
    <w:name w:val="annotation text"/>
    <w:basedOn w:val="Normal"/>
    <w:link w:val="CommentTextChar"/>
    <w:semiHidden/>
    <w:rsid w:val="00163531"/>
    <w:pPr>
      <w:widowControl w:val="0"/>
      <w:spacing w:after="0" w:line="240" w:lineRule="auto"/>
      <w:ind w:left="720"/>
      <w:jc w:val="both"/>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semiHidden/>
    <w:rsid w:val="00163531"/>
    <w:rPr>
      <w:rFonts w:ascii="Times New Roman" w:eastAsia="Times New Roman" w:hAnsi="Times New Roman" w:cs="Times New Roman"/>
      <w:snapToGrid w:val="0"/>
      <w:sz w:val="20"/>
      <w:szCs w:val="20"/>
    </w:rPr>
  </w:style>
  <w:style w:type="character" w:styleId="CommentReference">
    <w:name w:val="annotation reference"/>
    <w:semiHidden/>
    <w:rsid w:val="00163531"/>
    <w:rPr>
      <w:sz w:val="16"/>
      <w:szCs w:val="16"/>
    </w:rPr>
  </w:style>
  <w:style w:type="paragraph" w:styleId="BalloonText">
    <w:name w:val="Balloon Text"/>
    <w:basedOn w:val="Normal"/>
    <w:link w:val="BalloonTextChar"/>
    <w:uiPriority w:val="99"/>
    <w:semiHidden/>
    <w:unhideWhenUsed/>
    <w:rsid w:val="00163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Bisso</dc:creator>
  <cp:keywords/>
  <dc:description/>
  <cp:lastModifiedBy>Darren Bisso</cp:lastModifiedBy>
  <cp:revision>4</cp:revision>
  <cp:lastPrinted>2019-07-26T12:31:00Z</cp:lastPrinted>
  <dcterms:created xsi:type="dcterms:W3CDTF">2020-03-03T12:46:00Z</dcterms:created>
  <dcterms:modified xsi:type="dcterms:W3CDTF">2020-03-06T12:32:00Z</dcterms:modified>
</cp:coreProperties>
</file>